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0023" w14:paraId="3E035DE6" w14:textId="77777777" w:rsidTr="00345119">
        <w:tc>
          <w:tcPr>
            <w:tcW w:w="9576" w:type="dxa"/>
            <w:noWrap/>
          </w:tcPr>
          <w:p w14:paraId="3DDF63C5" w14:textId="77777777" w:rsidR="008423E4" w:rsidRPr="0022177D" w:rsidRDefault="00BB0847" w:rsidP="00C73C44">
            <w:pPr>
              <w:pStyle w:val="Heading1"/>
            </w:pPr>
            <w:r w:rsidRPr="00631897">
              <w:t>BILL ANALYSIS</w:t>
            </w:r>
          </w:p>
        </w:tc>
      </w:tr>
    </w:tbl>
    <w:p w14:paraId="22361886" w14:textId="77777777" w:rsidR="008423E4" w:rsidRPr="0022177D" w:rsidRDefault="008423E4" w:rsidP="00C73C44">
      <w:pPr>
        <w:jc w:val="center"/>
      </w:pPr>
    </w:p>
    <w:p w14:paraId="1057899A" w14:textId="77777777" w:rsidR="008423E4" w:rsidRPr="00B31F0E" w:rsidRDefault="008423E4" w:rsidP="00C73C44"/>
    <w:p w14:paraId="09467FE9" w14:textId="77777777" w:rsidR="008423E4" w:rsidRPr="00742794" w:rsidRDefault="008423E4" w:rsidP="00C73C4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0023" w14:paraId="248975EF" w14:textId="77777777" w:rsidTr="00345119">
        <w:tc>
          <w:tcPr>
            <w:tcW w:w="9576" w:type="dxa"/>
          </w:tcPr>
          <w:p w14:paraId="70A5D280" w14:textId="0BBB417F" w:rsidR="008423E4" w:rsidRPr="00861995" w:rsidRDefault="00BB0847" w:rsidP="00C73C44">
            <w:pPr>
              <w:jc w:val="right"/>
            </w:pPr>
            <w:r>
              <w:t>C.S.H.B. 2806</w:t>
            </w:r>
          </w:p>
        </w:tc>
      </w:tr>
      <w:tr w:rsidR="00A90023" w14:paraId="2605A7FE" w14:textId="77777777" w:rsidTr="00345119">
        <w:tc>
          <w:tcPr>
            <w:tcW w:w="9576" w:type="dxa"/>
          </w:tcPr>
          <w:p w14:paraId="487E07FF" w14:textId="6C90AC03" w:rsidR="008423E4" w:rsidRPr="00861995" w:rsidRDefault="00BB0847" w:rsidP="00C73C44">
            <w:pPr>
              <w:jc w:val="right"/>
            </w:pPr>
            <w:r>
              <w:t xml:space="preserve">By: </w:t>
            </w:r>
            <w:r w:rsidR="009551CB">
              <w:t>Canales</w:t>
            </w:r>
          </w:p>
        </w:tc>
      </w:tr>
      <w:tr w:rsidR="00A90023" w14:paraId="25F9C568" w14:textId="77777777" w:rsidTr="00345119">
        <w:tc>
          <w:tcPr>
            <w:tcW w:w="9576" w:type="dxa"/>
          </w:tcPr>
          <w:p w14:paraId="420A7365" w14:textId="2974C37A" w:rsidR="008423E4" w:rsidRPr="00861995" w:rsidRDefault="00BB0847" w:rsidP="00C73C44">
            <w:pPr>
              <w:jc w:val="right"/>
            </w:pPr>
            <w:r>
              <w:t>Transportation</w:t>
            </w:r>
          </w:p>
        </w:tc>
      </w:tr>
      <w:tr w:rsidR="00A90023" w14:paraId="5BA2D1EC" w14:textId="77777777" w:rsidTr="00345119">
        <w:tc>
          <w:tcPr>
            <w:tcW w:w="9576" w:type="dxa"/>
          </w:tcPr>
          <w:p w14:paraId="7A16E6D7" w14:textId="3AE1D4BE" w:rsidR="008423E4" w:rsidRDefault="00BB0847" w:rsidP="00C73C44">
            <w:pPr>
              <w:jc w:val="right"/>
            </w:pPr>
            <w:r>
              <w:t>Committee Report (Substituted)</w:t>
            </w:r>
          </w:p>
        </w:tc>
      </w:tr>
    </w:tbl>
    <w:p w14:paraId="105C227B" w14:textId="77777777" w:rsidR="008423E4" w:rsidRDefault="008423E4" w:rsidP="00C73C44">
      <w:pPr>
        <w:tabs>
          <w:tab w:val="right" w:pos="9360"/>
        </w:tabs>
      </w:pPr>
    </w:p>
    <w:p w14:paraId="39A370B2" w14:textId="77777777" w:rsidR="008423E4" w:rsidRDefault="008423E4" w:rsidP="00C73C44"/>
    <w:p w14:paraId="4E27365A" w14:textId="77777777" w:rsidR="008423E4" w:rsidRDefault="008423E4" w:rsidP="00C73C4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0023" w14:paraId="3F97606F" w14:textId="77777777" w:rsidTr="00345119">
        <w:tc>
          <w:tcPr>
            <w:tcW w:w="9576" w:type="dxa"/>
          </w:tcPr>
          <w:p w14:paraId="515D04CB" w14:textId="77777777" w:rsidR="008423E4" w:rsidRPr="00A8133F" w:rsidRDefault="00BB0847" w:rsidP="00C73C4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8DC160" w14:textId="77777777" w:rsidR="008423E4" w:rsidRDefault="008423E4" w:rsidP="00C73C44"/>
          <w:p w14:paraId="0B24926E" w14:textId="77777777" w:rsidR="008423E4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4FB5">
              <w:t xml:space="preserve">Under current law and practice, commercial signs along state and federal highways located within municipalities are </w:t>
            </w:r>
            <w:r w:rsidRPr="00534FB5">
              <w:t>permitted by both the Texas Department of Transportation and the relevant municipal government. When a highway or other public infrastructure improvement project is expanded and that expansion impacts a commercial sign location, TxDOT regulations afford th</w:t>
            </w:r>
            <w:r w:rsidRPr="00534FB5">
              <w:t>e sign permittee the opportunity for relocation. However, some cities routinely deny commercial sign relocation applications regardless of TxDOT actions.</w:t>
            </w:r>
            <w:r>
              <w:t xml:space="preserve"> C.S.H.B</w:t>
            </w:r>
            <w:r w:rsidR="006E6D4A">
              <w:t>.</w:t>
            </w:r>
            <w:r>
              <w:t xml:space="preserve"> 2806 seeks to address this issue by</w:t>
            </w:r>
            <w:r w:rsidRPr="00534FB5">
              <w:t xml:space="preserve"> </w:t>
            </w:r>
            <w:r>
              <w:t>authorizing the owner of a commercial sign to relocate th</w:t>
            </w:r>
            <w:r>
              <w:t>e use, structure, an</w:t>
            </w:r>
            <w:r w:rsidR="00BA2B33">
              <w:t>d</w:t>
            </w:r>
            <w:r>
              <w:t xml:space="preserve"> permit under certain conditions and </w:t>
            </w:r>
            <w:r w:rsidRPr="00534FB5">
              <w:t>requir</w:t>
            </w:r>
            <w:r w:rsidR="001763BD">
              <w:t>ing</w:t>
            </w:r>
            <w:r w:rsidRPr="00534FB5">
              <w:t xml:space="preserve"> a municipality to</w:t>
            </w:r>
            <w:r w:rsidR="001763BD">
              <w:t xml:space="preserve"> provide for the</w:t>
            </w:r>
            <w:r w:rsidRPr="00534FB5">
              <w:t xml:space="preserve"> relocation</w:t>
            </w:r>
            <w:r w:rsidR="001763BD">
              <w:t xml:space="preserve"> by a special exception to any applicable ordinance</w:t>
            </w:r>
            <w:r w:rsidRPr="00534FB5">
              <w:t xml:space="preserve">. </w:t>
            </w:r>
          </w:p>
          <w:p w14:paraId="50A4066D" w14:textId="0691317F" w:rsidR="00DD7ED0" w:rsidRPr="00E26B13" w:rsidRDefault="00DD7ED0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90023" w14:paraId="273629F4" w14:textId="77777777" w:rsidTr="00345119">
        <w:tc>
          <w:tcPr>
            <w:tcW w:w="9576" w:type="dxa"/>
          </w:tcPr>
          <w:p w14:paraId="2D5B5E30" w14:textId="77777777" w:rsidR="0017725B" w:rsidRDefault="00BB0847" w:rsidP="00C73C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392571" w14:textId="77777777" w:rsidR="0017725B" w:rsidRDefault="0017725B" w:rsidP="00C73C44">
            <w:pPr>
              <w:rPr>
                <w:b/>
                <w:u w:val="single"/>
              </w:rPr>
            </w:pPr>
          </w:p>
          <w:p w14:paraId="0321AB5B" w14:textId="3DB7851F" w:rsidR="00352011" w:rsidRPr="00352011" w:rsidRDefault="00BB0847" w:rsidP="00C73C44">
            <w:pPr>
              <w:jc w:val="both"/>
            </w:pPr>
            <w:r>
              <w:t>It is the committee's opinion that this bill does not expressly</w:t>
            </w:r>
            <w:r>
              <w:t xml:space="preserve"> create a criminal offense, increase the punishment for an existing criminal offense or category of offenses, or change the eligibility of a person for community supervision, parole, or mandatory supervision.</w:t>
            </w:r>
          </w:p>
          <w:p w14:paraId="60A14DE5" w14:textId="77777777" w:rsidR="0017725B" w:rsidRPr="0017725B" w:rsidRDefault="0017725B" w:rsidP="00C73C44">
            <w:pPr>
              <w:rPr>
                <w:b/>
                <w:u w:val="single"/>
              </w:rPr>
            </w:pPr>
          </w:p>
        </w:tc>
      </w:tr>
      <w:tr w:rsidR="00A90023" w14:paraId="49EFD62B" w14:textId="77777777" w:rsidTr="00345119">
        <w:tc>
          <w:tcPr>
            <w:tcW w:w="9576" w:type="dxa"/>
          </w:tcPr>
          <w:p w14:paraId="63F42E5C" w14:textId="77777777" w:rsidR="008423E4" w:rsidRPr="00A8133F" w:rsidRDefault="00BB0847" w:rsidP="00C73C4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9A36C85" w14:textId="77777777" w:rsidR="008423E4" w:rsidRDefault="008423E4" w:rsidP="00C73C44"/>
          <w:p w14:paraId="36F00AD0" w14:textId="31DB9EC9" w:rsidR="00352011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3CA96761" w14:textId="77777777" w:rsidR="008423E4" w:rsidRPr="00E21FDC" w:rsidRDefault="008423E4" w:rsidP="00C73C44">
            <w:pPr>
              <w:rPr>
                <w:b/>
              </w:rPr>
            </w:pPr>
          </w:p>
        </w:tc>
      </w:tr>
      <w:tr w:rsidR="00A90023" w14:paraId="1C70A76B" w14:textId="77777777" w:rsidTr="00345119">
        <w:tc>
          <w:tcPr>
            <w:tcW w:w="9576" w:type="dxa"/>
          </w:tcPr>
          <w:p w14:paraId="10F818F9" w14:textId="77777777" w:rsidR="008423E4" w:rsidRPr="001D6262" w:rsidRDefault="00BB0847" w:rsidP="00C73C44">
            <w:pPr>
              <w:rPr>
                <w:b/>
              </w:rPr>
            </w:pPr>
            <w:r w:rsidRPr="001D6262">
              <w:rPr>
                <w:b/>
                <w:u w:val="single"/>
              </w:rPr>
              <w:t>ANALYSIS</w:t>
            </w:r>
            <w:r w:rsidRPr="001D6262">
              <w:rPr>
                <w:b/>
              </w:rPr>
              <w:t xml:space="preserve"> </w:t>
            </w:r>
          </w:p>
          <w:p w14:paraId="18E2CAC5" w14:textId="77777777" w:rsidR="008423E4" w:rsidRPr="001D6262" w:rsidRDefault="008423E4" w:rsidP="00C73C44">
            <w:pPr>
              <w:rPr>
                <w:bCs/>
              </w:rPr>
            </w:pPr>
          </w:p>
          <w:p w14:paraId="1EEC9946" w14:textId="1F32A517" w:rsidR="00B97307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B503C4">
              <w:rPr>
                <w:bCs/>
              </w:rPr>
              <w:t>C.S.</w:t>
            </w:r>
            <w:r w:rsidR="00352011" w:rsidRPr="001D6262">
              <w:rPr>
                <w:bCs/>
              </w:rPr>
              <w:t xml:space="preserve">H.B. 2806 amends the Transportation Code to </w:t>
            </w:r>
            <w:r w:rsidR="00220BE7">
              <w:rPr>
                <w:bCs/>
              </w:rPr>
              <w:t>authorize</w:t>
            </w:r>
            <w:r w:rsidR="00220BE7" w:rsidRPr="001D6262">
              <w:rPr>
                <w:bCs/>
              </w:rPr>
              <w:t xml:space="preserve"> </w:t>
            </w:r>
            <w:r w:rsidR="00352011" w:rsidRPr="001D6262">
              <w:rPr>
                <w:bCs/>
              </w:rPr>
              <w:t>the owner of a commercial sign to relocate the use, structure, or permit of the commercial sign t</w:t>
            </w:r>
            <w:r w:rsidR="00E66E65" w:rsidRPr="001D6262">
              <w:rPr>
                <w:bCs/>
              </w:rPr>
              <w:t xml:space="preserve">o </w:t>
            </w:r>
            <w:r w:rsidR="00B65CA2">
              <w:rPr>
                <w:bCs/>
              </w:rPr>
              <w:t>another</w:t>
            </w:r>
            <w:r w:rsidR="00B65CA2" w:rsidRPr="001D6262">
              <w:rPr>
                <w:bCs/>
              </w:rPr>
              <w:t xml:space="preserve"> </w:t>
            </w:r>
            <w:r w:rsidR="00E66E65" w:rsidRPr="001D6262">
              <w:rPr>
                <w:bCs/>
              </w:rPr>
              <w:t>location</w:t>
            </w:r>
            <w:r w:rsidR="00EC4F5E">
              <w:rPr>
                <w:bCs/>
              </w:rPr>
              <w:t xml:space="preserve"> permitted </w:t>
            </w:r>
            <w:r w:rsidR="00D50D04">
              <w:rPr>
                <w:bCs/>
              </w:rPr>
              <w:t xml:space="preserve">by </w:t>
            </w:r>
            <w:r w:rsidR="009649B4">
              <w:rPr>
                <w:bCs/>
              </w:rPr>
              <w:t xml:space="preserve">statutory </w:t>
            </w:r>
            <w:r w:rsidR="00D50D04">
              <w:rPr>
                <w:bCs/>
              </w:rPr>
              <w:t>provisions relating to highway beautification or rules adopted thereunder</w:t>
            </w:r>
            <w:r w:rsidR="00E66E65" w:rsidRPr="001D6262">
              <w:rPr>
                <w:bCs/>
              </w:rPr>
              <w:t xml:space="preserve"> if the </w:t>
            </w:r>
            <w:r w:rsidR="00B65CA2">
              <w:rPr>
                <w:bCs/>
              </w:rPr>
              <w:t xml:space="preserve">sign </w:t>
            </w:r>
            <w:r w:rsidR="00852057">
              <w:rPr>
                <w:bCs/>
              </w:rPr>
              <w:t>use, structure</w:t>
            </w:r>
            <w:r w:rsidR="002D0099">
              <w:rPr>
                <w:bCs/>
              </w:rPr>
              <w:t>,</w:t>
            </w:r>
            <w:r w:rsidR="00852057">
              <w:rPr>
                <w:bCs/>
              </w:rPr>
              <w:t xml:space="preserve"> or permit may not be continued</w:t>
            </w:r>
            <w:r>
              <w:rPr>
                <w:bCs/>
              </w:rPr>
              <w:t xml:space="preserve"> due to the following reasons:</w:t>
            </w:r>
            <w:r w:rsidR="00852057">
              <w:rPr>
                <w:bCs/>
              </w:rPr>
              <w:t xml:space="preserve"> </w:t>
            </w:r>
          </w:p>
          <w:p w14:paraId="0C5D26E0" w14:textId="1DBDC26A" w:rsidR="00B97307" w:rsidRDefault="00BB0847" w:rsidP="00C73C4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widening,</w:t>
            </w:r>
            <w:r w:rsidR="00E66E65" w:rsidRPr="001D6262">
              <w:rPr>
                <w:bCs/>
              </w:rPr>
              <w:t xml:space="preserve"> construction,</w:t>
            </w:r>
            <w:r>
              <w:rPr>
                <w:bCs/>
              </w:rPr>
              <w:t xml:space="preserve"> or reconstruction of a highway; </w:t>
            </w:r>
          </w:p>
          <w:p w14:paraId="7CDA2A01" w14:textId="13D82C3C" w:rsidR="00B97307" w:rsidRDefault="00BB0847" w:rsidP="00C73C4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installation, expansion, or construction of</w:t>
            </w:r>
            <w:r w:rsidR="00E66E65" w:rsidRPr="001D6262">
              <w:rPr>
                <w:bCs/>
              </w:rPr>
              <w:t xml:space="preserve"> public </w:t>
            </w:r>
            <w:r w:rsidR="00183D8F" w:rsidRPr="001D6262">
              <w:rPr>
                <w:bCs/>
              </w:rPr>
              <w:t>infrastructure</w:t>
            </w:r>
            <w:r>
              <w:rPr>
                <w:bCs/>
              </w:rPr>
              <w:t>;</w:t>
            </w:r>
            <w:r w:rsidR="00E66E65" w:rsidRPr="001D6262">
              <w:rPr>
                <w:bCs/>
              </w:rPr>
              <w:t xml:space="preserve"> or</w:t>
            </w:r>
            <w:r>
              <w:rPr>
                <w:bCs/>
              </w:rPr>
              <w:t xml:space="preserve"> </w:t>
            </w:r>
          </w:p>
          <w:p w14:paraId="3C2B1635" w14:textId="182AA0B4" w:rsidR="00A112E6" w:rsidRPr="00D50D04" w:rsidRDefault="00BB0847" w:rsidP="00C73C4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undertaking</w:t>
            </w:r>
            <w:r w:rsidR="00B97307">
              <w:rPr>
                <w:bCs/>
              </w:rPr>
              <w:t xml:space="preserve"> of a</w:t>
            </w:r>
            <w:r w:rsidR="00E66E65" w:rsidRPr="001D6262">
              <w:rPr>
                <w:bCs/>
              </w:rPr>
              <w:t xml:space="preserve"> public improvement</w:t>
            </w:r>
            <w:r w:rsidR="00B97307">
              <w:rPr>
                <w:bCs/>
              </w:rPr>
              <w:t xml:space="preserve"> </w:t>
            </w:r>
            <w:r w:rsidR="00B057E8">
              <w:rPr>
                <w:bCs/>
              </w:rPr>
              <w:t xml:space="preserve">project </w:t>
            </w:r>
            <w:r w:rsidR="00B97307">
              <w:rPr>
                <w:bCs/>
              </w:rPr>
              <w:t>by a public improvement district</w:t>
            </w:r>
            <w:r w:rsidR="00E66E65" w:rsidRPr="001D6262">
              <w:rPr>
                <w:bCs/>
              </w:rPr>
              <w:t xml:space="preserve">. </w:t>
            </w:r>
          </w:p>
          <w:p w14:paraId="3C6A4D4F" w14:textId="2E00FB00" w:rsidR="008423E4" w:rsidRPr="001D6262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bill</w:t>
            </w:r>
            <w:r w:rsidR="00E66E65" w:rsidRPr="001D6262">
              <w:rPr>
                <w:bCs/>
              </w:rPr>
              <w:t xml:space="preserve"> requires </w:t>
            </w:r>
            <w:r w:rsidR="00092FDD">
              <w:rPr>
                <w:bCs/>
              </w:rPr>
              <w:t>the</w:t>
            </w:r>
            <w:r w:rsidR="00092FDD" w:rsidRPr="001D6262">
              <w:rPr>
                <w:bCs/>
              </w:rPr>
              <w:t xml:space="preserve"> </w:t>
            </w:r>
            <w:r w:rsidR="00E66E65" w:rsidRPr="001D6262">
              <w:rPr>
                <w:bCs/>
              </w:rPr>
              <w:t>municipality in which the use or structure is located</w:t>
            </w:r>
            <w:r w:rsidR="009649B4">
              <w:rPr>
                <w:bCs/>
              </w:rPr>
              <w:t>, if located in a municipality,</w:t>
            </w:r>
            <w:r w:rsidR="00E66E65" w:rsidRPr="001D6262">
              <w:rPr>
                <w:bCs/>
              </w:rPr>
              <w:t xml:space="preserve"> to provide for the relocation by a special exception to any applicable ordinance, if necessary. </w:t>
            </w:r>
          </w:p>
          <w:p w14:paraId="7A2CE8F1" w14:textId="128A5D0D" w:rsidR="00352011" w:rsidRPr="001D6262" w:rsidRDefault="00352011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612080A8" w14:textId="022F6CEA" w:rsidR="002C7710" w:rsidRPr="001D6262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B503C4">
              <w:rPr>
                <w:bCs/>
              </w:rPr>
              <w:t>C.S.</w:t>
            </w:r>
            <w:r w:rsidRPr="001D6262">
              <w:rPr>
                <w:bCs/>
              </w:rPr>
              <w:t xml:space="preserve">H.B. 2806 </w:t>
            </w:r>
            <w:r w:rsidR="00BB6434" w:rsidRPr="001D6262">
              <w:rPr>
                <w:bCs/>
              </w:rPr>
              <w:t xml:space="preserve">authorizes the owner of a commercial sign </w:t>
            </w:r>
            <w:r w:rsidR="00A506EE">
              <w:rPr>
                <w:bCs/>
              </w:rPr>
              <w:t xml:space="preserve">whose view and readability are obstructed due to </w:t>
            </w:r>
            <w:r w:rsidR="00A506EE" w:rsidRPr="00B83F39">
              <w:rPr>
                <w:bCs/>
              </w:rPr>
              <w:t>a noise abatement or safety measure</w:t>
            </w:r>
            <w:r w:rsidR="009C4E61">
              <w:rPr>
                <w:bCs/>
              </w:rPr>
              <w:t>, a grade change, vegetation, construction, an aesthetic improvement by a state agency</w:t>
            </w:r>
            <w:r w:rsidR="0045479D">
              <w:rPr>
                <w:bCs/>
              </w:rPr>
              <w:t>,</w:t>
            </w:r>
            <w:r w:rsidR="00723E60">
              <w:rPr>
                <w:bCs/>
              </w:rPr>
              <w:t xml:space="preserve"> or </w:t>
            </w:r>
            <w:r w:rsidR="009C4E61">
              <w:rPr>
                <w:bCs/>
              </w:rPr>
              <w:t>a directional sign</w:t>
            </w:r>
            <w:r w:rsidR="000C1EE5">
              <w:rPr>
                <w:bCs/>
              </w:rPr>
              <w:t>,</w:t>
            </w:r>
            <w:r w:rsidR="00A506EE">
              <w:rPr>
                <w:bCs/>
              </w:rPr>
              <w:t xml:space="preserve"> </w:t>
            </w:r>
            <w:r w:rsidR="00BB6434" w:rsidRPr="001D6262">
              <w:rPr>
                <w:bCs/>
              </w:rPr>
              <w:t xml:space="preserve">to relocate the sign to a location </w:t>
            </w:r>
            <w:r w:rsidR="00A75FED">
              <w:rPr>
                <w:bCs/>
              </w:rPr>
              <w:t>in which</w:t>
            </w:r>
            <w:r w:rsidR="00B83F39">
              <w:rPr>
                <w:bCs/>
              </w:rPr>
              <w:t xml:space="preserve"> </w:t>
            </w:r>
            <w:r w:rsidR="00A75FED">
              <w:rPr>
                <w:bCs/>
              </w:rPr>
              <w:t xml:space="preserve">a commercial </w:t>
            </w:r>
            <w:r w:rsidR="00B83F39">
              <w:rPr>
                <w:bCs/>
              </w:rPr>
              <w:t>sign is permitted</w:t>
            </w:r>
            <w:r w:rsidR="009C4E61">
              <w:rPr>
                <w:bCs/>
              </w:rPr>
              <w:t xml:space="preserve"> under statutory provisions</w:t>
            </w:r>
            <w:r w:rsidR="00A657D5">
              <w:rPr>
                <w:bCs/>
              </w:rPr>
              <w:t xml:space="preserve"> relating to</w:t>
            </w:r>
            <w:r w:rsidR="00864CC7" w:rsidRPr="00864CC7">
              <w:rPr>
                <w:bCs/>
              </w:rPr>
              <w:t xml:space="preserve"> highway beautification or rule</w:t>
            </w:r>
            <w:r w:rsidR="00864CC7">
              <w:rPr>
                <w:bCs/>
              </w:rPr>
              <w:t>s</w:t>
            </w:r>
            <w:r w:rsidR="00864CC7" w:rsidRPr="00864CC7">
              <w:rPr>
                <w:bCs/>
              </w:rPr>
              <w:t xml:space="preserve"> adopted </w:t>
            </w:r>
            <w:r w:rsidR="009649B4">
              <w:rPr>
                <w:bCs/>
              </w:rPr>
              <w:t>thereunder</w:t>
            </w:r>
            <w:r w:rsidR="009C4E61">
              <w:rPr>
                <w:bCs/>
              </w:rPr>
              <w:t>.</w:t>
            </w:r>
            <w:r w:rsidR="00864CC7">
              <w:t xml:space="preserve"> </w:t>
            </w:r>
            <w:r w:rsidR="00864CC7" w:rsidRPr="00864CC7">
              <w:rPr>
                <w:bCs/>
              </w:rPr>
              <w:t>The bill</w:t>
            </w:r>
            <w:r w:rsidR="00864CC7">
              <w:rPr>
                <w:bCs/>
              </w:rPr>
              <w:t xml:space="preserve"> establishes that</w:t>
            </w:r>
            <w:r w:rsidR="00864CC7" w:rsidRPr="00864CC7">
              <w:rPr>
                <w:bCs/>
              </w:rPr>
              <w:t xml:space="preserve"> the owner of the sign</w:t>
            </w:r>
            <w:r w:rsidR="00864CC7">
              <w:rPr>
                <w:bCs/>
              </w:rPr>
              <w:t xml:space="preserve"> is</w:t>
            </w:r>
            <w:r w:rsidR="00864CC7" w:rsidRPr="00864CC7">
              <w:rPr>
                <w:bCs/>
              </w:rPr>
              <w:t xml:space="preserve"> responsible for all costs associated with relocating a sign and is not entitled to any compensation for those costs.</w:t>
            </w:r>
            <w:r w:rsidR="009C4E61" w:rsidRPr="001D6262">
              <w:rPr>
                <w:bCs/>
              </w:rPr>
              <w:t xml:space="preserve"> </w:t>
            </w:r>
            <w:r w:rsidR="00BB6434" w:rsidRPr="001D6262">
              <w:rPr>
                <w:bCs/>
              </w:rPr>
              <w:t>The bill requires a municipality in which the sign is located</w:t>
            </w:r>
            <w:r w:rsidR="009649B4">
              <w:rPr>
                <w:bCs/>
              </w:rPr>
              <w:t>, if located in a municipality,</w:t>
            </w:r>
            <w:r w:rsidR="00BB6434" w:rsidRPr="001D6262">
              <w:rPr>
                <w:bCs/>
              </w:rPr>
              <w:t xml:space="preserve"> to provide for the relocation by a special exception to any applicable ordinance, if necessary</w:t>
            </w:r>
            <w:r w:rsidR="00A657D5">
              <w:rPr>
                <w:bCs/>
              </w:rPr>
              <w:t xml:space="preserve">. </w:t>
            </w:r>
          </w:p>
          <w:p w14:paraId="6F8C54E1" w14:textId="13D8E75C" w:rsidR="00352011" w:rsidRDefault="00352011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7A8AE8D1" w14:textId="77777777" w:rsidR="00352011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B503C4">
              <w:rPr>
                <w:bCs/>
              </w:rPr>
              <w:t>C.S.</w:t>
            </w:r>
            <w:r w:rsidR="001D6262">
              <w:rPr>
                <w:bCs/>
              </w:rPr>
              <w:t xml:space="preserve">H.B. 2806 </w:t>
            </w:r>
            <w:r w:rsidR="0091393F">
              <w:rPr>
                <w:bCs/>
              </w:rPr>
              <w:t xml:space="preserve">establishes that the rights associated with </w:t>
            </w:r>
            <w:r w:rsidR="00220BE7">
              <w:rPr>
                <w:bCs/>
              </w:rPr>
              <w:t>a commercial</w:t>
            </w:r>
            <w:r w:rsidR="0091393F">
              <w:rPr>
                <w:bCs/>
              </w:rPr>
              <w:t xml:space="preserve"> sign that </w:t>
            </w:r>
            <w:r w:rsidR="009649B4">
              <w:rPr>
                <w:bCs/>
              </w:rPr>
              <w:t xml:space="preserve">was </w:t>
            </w:r>
            <w:r w:rsidR="0091393F">
              <w:rPr>
                <w:bCs/>
              </w:rPr>
              <w:t xml:space="preserve">lawfully </w:t>
            </w:r>
            <w:r w:rsidR="00A75FED">
              <w:rPr>
                <w:bCs/>
              </w:rPr>
              <w:t>erected</w:t>
            </w:r>
            <w:r w:rsidR="0091393F">
              <w:rPr>
                <w:bCs/>
              </w:rPr>
              <w:t xml:space="preserve"> but no longer complies with current laws and regulations, including laws and regulations promulgated under </w:t>
            </w:r>
            <w:r w:rsidR="00CD6AB5">
              <w:rPr>
                <w:bCs/>
              </w:rPr>
              <w:t>provisions</w:t>
            </w:r>
            <w:r w:rsidR="00657C9A">
              <w:rPr>
                <w:bCs/>
              </w:rPr>
              <w:t xml:space="preserve"> relating to highway beautification, outdoor signs on rural roads, and municipal regulation of signs,</w:t>
            </w:r>
            <w:r w:rsidR="00CD6AB5">
              <w:rPr>
                <w:bCs/>
              </w:rPr>
              <w:t xml:space="preserve"> </w:t>
            </w:r>
            <w:r w:rsidR="0091393F">
              <w:rPr>
                <w:bCs/>
              </w:rPr>
              <w:t xml:space="preserve">vest in the owner of the </w:t>
            </w:r>
            <w:r w:rsidR="00220BE7">
              <w:rPr>
                <w:bCs/>
              </w:rPr>
              <w:t>commercial</w:t>
            </w:r>
            <w:r w:rsidR="0091393F">
              <w:rPr>
                <w:bCs/>
              </w:rPr>
              <w:t xml:space="preserve"> sign. </w:t>
            </w:r>
          </w:p>
          <w:p w14:paraId="716074E0" w14:textId="15124FC5" w:rsidR="00DD7ED0" w:rsidRPr="001D6262" w:rsidRDefault="00DD7ED0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A90023" w14:paraId="0F670872" w14:textId="77777777" w:rsidTr="00345119">
        <w:tc>
          <w:tcPr>
            <w:tcW w:w="9576" w:type="dxa"/>
          </w:tcPr>
          <w:p w14:paraId="28D37908" w14:textId="77777777" w:rsidR="008423E4" w:rsidRPr="00A8133F" w:rsidRDefault="00BB0847" w:rsidP="00C73C4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D6F47B" w14:textId="77777777" w:rsidR="008423E4" w:rsidRDefault="008423E4" w:rsidP="00C73C44"/>
          <w:p w14:paraId="786E04F2" w14:textId="25E4F157" w:rsidR="008423E4" w:rsidRPr="003624F2" w:rsidRDefault="00BB0847" w:rsidP="00C73C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C0B831" w14:textId="77777777" w:rsidR="008423E4" w:rsidRPr="00233FDB" w:rsidRDefault="008423E4" w:rsidP="00C73C44">
            <w:pPr>
              <w:rPr>
                <w:b/>
              </w:rPr>
            </w:pPr>
          </w:p>
        </w:tc>
      </w:tr>
      <w:tr w:rsidR="00A90023" w14:paraId="30134CA8" w14:textId="77777777" w:rsidTr="00345119">
        <w:tc>
          <w:tcPr>
            <w:tcW w:w="9576" w:type="dxa"/>
          </w:tcPr>
          <w:p w14:paraId="77375CFD" w14:textId="77777777" w:rsidR="009551CB" w:rsidRDefault="00BB0847" w:rsidP="00C73C4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B103AB7" w14:textId="77777777" w:rsidR="00E92D02" w:rsidRDefault="00E92D02" w:rsidP="00C73C44">
            <w:pPr>
              <w:jc w:val="both"/>
              <w:rPr>
                <w:bCs/>
              </w:rPr>
            </w:pPr>
          </w:p>
          <w:p w14:paraId="0E7DD9D8" w14:textId="167FD28A" w:rsidR="005135F1" w:rsidRDefault="00BB0847" w:rsidP="00C73C44">
            <w:pPr>
              <w:jc w:val="both"/>
              <w:rPr>
                <w:bCs/>
              </w:rPr>
            </w:pPr>
            <w:r>
              <w:rPr>
                <w:bCs/>
              </w:rPr>
              <w:t>While C.S.H.B. 2806 may differ from the introduced in minor or nonsubstantive ways, the following summarizes the substantial differences between the introduced and committee substitute versions of the bill.</w:t>
            </w:r>
          </w:p>
          <w:p w14:paraId="56B3A427" w14:textId="08609E18" w:rsidR="00A9514B" w:rsidRDefault="00A9514B" w:rsidP="00C73C44">
            <w:pPr>
              <w:jc w:val="both"/>
              <w:rPr>
                <w:bCs/>
              </w:rPr>
            </w:pPr>
          </w:p>
          <w:p w14:paraId="4D78596A" w14:textId="4CEC4434" w:rsidR="00D003A8" w:rsidRDefault="00BB0847" w:rsidP="00C73C44">
            <w:pPr>
              <w:jc w:val="both"/>
              <w:rPr>
                <w:bCs/>
              </w:rPr>
            </w:pPr>
            <w:r>
              <w:rPr>
                <w:bCs/>
              </w:rPr>
              <w:t>W</w:t>
            </w:r>
            <w:r w:rsidRPr="00E92D02">
              <w:rPr>
                <w:bCs/>
              </w:rPr>
              <w:t>hereas</w:t>
            </w:r>
            <w:r w:rsidRPr="00E92D02">
              <w:rPr>
                <w:bCs/>
              </w:rPr>
              <w:t xml:space="preserve"> the introduced </w:t>
            </w:r>
            <w:r w:rsidR="003D5F5D">
              <w:rPr>
                <w:bCs/>
              </w:rPr>
              <w:t>specified locations to where</w:t>
            </w:r>
            <w:r w:rsidR="00486389">
              <w:rPr>
                <w:bCs/>
              </w:rPr>
              <w:t xml:space="preserve"> the</w:t>
            </w:r>
            <w:r>
              <w:rPr>
                <w:bCs/>
              </w:rPr>
              <w:t xml:space="preserve"> owner of a commercial sign </w:t>
            </w:r>
            <w:r w:rsidR="00486389">
              <w:rPr>
                <w:bCs/>
              </w:rPr>
              <w:t>may</w:t>
            </w:r>
            <w:r>
              <w:rPr>
                <w:bCs/>
              </w:rPr>
              <w:t xml:space="preserve"> relocate the</w:t>
            </w:r>
            <w:r w:rsidR="00912465">
              <w:rPr>
                <w:bCs/>
              </w:rPr>
              <w:t xml:space="preserve"> use, structure, or permit of the</w:t>
            </w:r>
            <w:r>
              <w:rPr>
                <w:bCs/>
              </w:rPr>
              <w:t xml:space="preserve"> sign, t</w:t>
            </w:r>
            <w:r w:rsidR="00E92D02">
              <w:rPr>
                <w:bCs/>
              </w:rPr>
              <w:t>h</w:t>
            </w:r>
            <w:r w:rsidR="00E92D02" w:rsidRPr="00E92D02">
              <w:rPr>
                <w:bCs/>
              </w:rPr>
              <w:t xml:space="preserve">e substitute </w:t>
            </w:r>
            <w:r w:rsidR="00486389">
              <w:rPr>
                <w:bCs/>
              </w:rPr>
              <w:t>does not specify any such</w:t>
            </w:r>
            <w:r>
              <w:rPr>
                <w:bCs/>
              </w:rPr>
              <w:t xml:space="preserve"> locations </w:t>
            </w:r>
            <w:r w:rsidR="00486389">
              <w:rPr>
                <w:bCs/>
              </w:rPr>
              <w:t>and instead specifies that the location is permitted by statutory provisions relating to highway beautification or a rule adopted thereunder</w:t>
            </w:r>
            <w:r>
              <w:rPr>
                <w:bCs/>
              </w:rPr>
              <w:t xml:space="preserve">. The substitute omits the requirement </w:t>
            </w:r>
            <w:r w:rsidR="00486389">
              <w:rPr>
                <w:bCs/>
              </w:rPr>
              <w:t>from</w:t>
            </w:r>
            <w:r>
              <w:rPr>
                <w:bCs/>
              </w:rPr>
              <w:t xml:space="preserve"> the introduced for the sign to be relocated to a location </w:t>
            </w:r>
            <w:r w:rsidR="00486389">
              <w:rPr>
                <w:bCs/>
              </w:rPr>
              <w:t xml:space="preserve">where </w:t>
            </w:r>
            <w:r>
              <w:rPr>
                <w:bCs/>
              </w:rPr>
              <w:t xml:space="preserve">permitted under statutory provisions relating to an offense for </w:t>
            </w:r>
            <w:r w:rsidR="005833CD">
              <w:rPr>
                <w:bCs/>
              </w:rPr>
              <w:t>erecting or maintaining an unlawful commercial sign.</w:t>
            </w:r>
          </w:p>
          <w:p w14:paraId="374CAB78" w14:textId="377284EE" w:rsidR="005833CD" w:rsidRDefault="005833CD" w:rsidP="00C73C44">
            <w:pPr>
              <w:jc w:val="both"/>
              <w:rPr>
                <w:bCs/>
              </w:rPr>
            </w:pPr>
          </w:p>
          <w:p w14:paraId="5036D831" w14:textId="141994BD" w:rsidR="007A2A9E" w:rsidRDefault="00BB0847" w:rsidP="00C73C44">
            <w:pPr>
              <w:jc w:val="both"/>
              <w:rPr>
                <w:bCs/>
              </w:rPr>
            </w:pPr>
            <w:r>
              <w:rPr>
                <w:bCs/>
              </w:rPr>
              <w:t>The substitute omits a provision</w:t>
            </w:r>
            <w:r w:rsidR="007B789E">
              <w:rPr>
                <w:bCs/>
              </w:rPr>
              <w:t xml:space="preserve"> that appeared</w:t>
            </w:r>
            <w:r>
              <w:rPr>
                <w:bCs/>
              </w:rPr>
              <w:t xml:space="preserve"> in the introduced </w:t>
            </w:r>
            <w:r w:rsidR="007113C1">
              <w:rPr>
                <w:bCs/>
              </w:rPr>
              <w:t>that</w:t>
            </w:r>
            <w:r w:rsidR="007B789E">
              <w:rPr>
                <w:bCs/>
              </w:rPr>
              <w:t xml:space="preserve"> requires</w:t>
            </w:r>
            <w:r w:rsidR="007113C1">
              <w:rPr>
                <w:bCs/>
              </w:rPr>
              <w:t xml:space="preserve"> </w:t>
            </w:r>
            <w:r w:rsidR="007B789E">
              <w:rPr>
                <w:bCs/>
              </w:rPr>
              <w:t>any governmental</w:t>
            </w:r>
            <w:r w:rsidR="007113C1">
              <w:rPr>
                <w:bCs/>
              </w:rPr>
              <w:t xml:space="preserve"> entity</w:t>
            </w:r>
            <w:r w:rsidR="007B789E">
              <w:rPr>
                <w:bCs/>
              </w:rPr>
              <w:t>, quasi governmental entity, or public utility that acquires a commercial sign by eminent domain or causes the need for the sign to be relocated to</w:t>
            </w:r>
            <w:r w:rsidR="007113C1">
              <w:rPr>
                <w:bCs/>
              </w:rPr>
              <w:t xml:space="preserve"> </w:t>
            </w:r>
            <w:r w:rsidR="007B789E">
              <w:rPr>
                <w:bCs/>
              </w:rPr>
              <w:t>pay</w:t>
            </w:r>
            <w:r w:rsidR="007113C1">
              <w:rPr>
                <w:bCs/>
              </w:rPr>
              <w:t xml:space="preserve"> the costs related to the acquisition or relocation</w:t>
            </w:r>
            <w:r w:rsidR="007B789E">
              <w:rPr>
                <w:bCs/>
              </w:rPr>
              <w:t>.</w:t>
            </w:r>
          </w:p>
          <w:p w14:paraId="7A29DDA7" w14:textId="49E802FA" w:rsidR="007A2A9E" w:rsidRDefault="007A2A9E" w:rsidP="00C73C44">
            <w:pPr>
              <w:jc w:val="both"/>
              <w:rPr>
                <w:bCs/>
              </w:rPr>
            </w:pPr>
          </w:p>
          <w:p w14:paraId="75C26B43" w14:textId="151253C1" w:rsidR="0087491A" w:rsidRPr="007F774C" w:rsidRDefault="00BB0847" w:rsidP="00C73C44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Whereas the introduced </w:t>
            </w:r>
            <w:r w:rsidR="007A2A9E">
              <w:rPr>
                <w:bCs/>
              </w:rPr>
              <w:t>include</w:t>
            </w:r>
            <w:r w:rsidR="008E12FB">
              <w:rPr>
                <w:bCs/>
              </w:rPr>
              <w:t>d</w:t>
            </w:r>
            <w:r w:rsidR="007A2A9E">
              <w:rPr>
                <w:bCs/>
              </w:rPr>
              <w:t xml:space="preserve"> widening along a highway as a </w:t>
            </w:r>
            <w:r w:rsidR="00013467">
              <w:rPr>
                <w:bCs/>
              </w:rPr>
              <w:t>circumstance</w:t>
            </w:r>
            <w:r w:rsidR="007A2A9E">
              <w:rPr>
                <w:bCs/>
              </w:rPr>
              <w:t xml:space="preserve"> that </w:t>
            </w:r>
            <w:r w:rsidR="00013467">
              <w:rPr>
                <w:bCs/>
              </w:rPr>
              <w:t>triggers</w:t>
            </w:r>
            <w:r w:rsidR="007A2A9E">
              <w:rPr>
                <w:bCs/>
              </w:rPr>
              <w:t xml:space="preserve"> the </w:t>
            </w:r>
            <w:r w:rsidR="00013467">
              <w:rPr>
                <w:bCs/>
              </w:rPr>
              <w:t xml:space="preserve">authorization for the </w:t>
            </w:r>
            <w:r w:rsidR="007A2A9E">
              <w:rPr>
                <w:bCs/>
              </w:rPr>
              <w:t xml:space="preserve">owner of a commercial sign to </w:t>
            </w:r>
            <w:r w:rsidR="008E12FB">
              <w:rPr>
                <w:bCs/>
              </w:rPr>
              <w:t xml:space="preserve">adjust the height of </w:t>
            </w:r>
            <w:r w:rsidR="00013467">
              <w:rPr>
                <w:bCs/>
              </w:rPr>
              <w:t xml:space="preserve">and relocate </w:t>
            </w:r>
            <w:r w:rsidR="008E12FB">
              <w:rPr>
                <w:bCs/>
              </w:rPr>
              <w:t xml:space="preserve">the sign </w:t>
            </w:r>
            <w:r w:rsidR="007A2A9E">
              <w:rPr>
                <w:bCs/>
              </w:rPr>
              <w:t xml:space="preserve">if the view or readability of the sign is obstructed due to </w:t>
            </w:r>
            <w:r w:rsidR="008E12FB">
              <w:rPr>
                <w:bCs/>
              </w:rPr>
              <w:t xml:space="preserve">certain </w:t>
            </w:r>
            <w:r w:rsidR="00013467">
              <w:rPr>
                <w:bCs/>
              </w:rPr>
              <w:t>circumstances</w:t>
            </w:r>
            <w:r w:rsidR="008E12FB">
              <w:rPr>
                <w:bCs/>
              </w:rPr>
              <w:t>,</w:t>
            </w:r>
            <w:r w:rsidR="00DF06CD">
              <w:rPr>
                <w:bCs/>
              </w:rPr>
              <w:t xml:space="preserve"> </w:t>
            </w:r>
            <w:r w:rsidR="008E12FB">
              <w:rPr>
                <w:bCs/>
              </w:rPr>
              <w:t>t</w:t>
            </w:r>
            <w:r w:rsidR="00DF06CD">
              <w:rPr>
                <w:bCs/>
              </w:rPr>
              <w:t xml:space="preserve">he substitute does not include </w:t>
            </w:r>
            <w:r w:rsidR="008E12FB">
              <w:rPr>
                <w:bCs/>
              </w:rPr>
              <w:t xml:space="preserve">such as a </w:t>
            </w:r>
            <w:r w:rsidR="00013467">
              <w:rPr>
                <w:bCs/>
              </w:rPr>
              <w:t>circumstance and does not authorize the owner to adjust the height of the sign. Additionally, the introduced authorized the sign's relocation under those circumstances to a location</w:t>
            </w:r>
            <w:r w:rsidR="00DF06CD">
              <w:rPr>
                <w:bCs/>
              </w:rPr>
              <w:t xml:space="preserve"> </w:t>
            </w:r>
            <w:r w:rsidR="00F36388">
              <w:rPr>
                <w:bCs/>
              </w:rPr>
              <w:t xml:space="preserve">within 500 feet of </w:t>
            </w:r>
            <w:r w:rsidR="00013467">
              <w:rPr>
                <w:bCs/>
              </w:rPr>
              <w:t xml:space="preserve">its </w:t>
            </w:r>
            <w:r w:rsidR="00F36388">
              <w:rPr>
                <w:bCs/>
              </w:rPr>
              <w:t>previous location</w:t>
            </w:r>
            <w:r w:rsidR="00DF06CD">
              <w:rPr>
                <w:bCs/>
              </w:rPr>
              <w:t xml:space="preserve"> if the sign </w:t>
            </w:r>
            <w:r w:rsidR="00013467">
              <w:rPr>
                <w:bCs/>
              </w:rPr>
              <w:t>complies with applicable spacing</w:t>
            </w:r>
            <w:r w:rsidR="00DF06CD">
              <w:rPr>
                <w:bCs/>
              </w:rPr>
              <w:t xml:space="preserve"> requirements</w:t>
            </w:r>
            <w:r w:rsidR="00013467">
              <w:rPr>
                <w:bCs/>
              </w:rPr>
              <w:t xml:space="preserve"> and is in a location in which a commercial sign is permitted under statutory provisions</w:t>
            </w:r>
            <w:r w:rsidR="00AB5F11">
              <w:rPr>
                <w:bCs/>
              </w:rPr>
              <w:t xml:space="preserve"> relating to an offense for erecting or maintaining an unlawful commercial sign, but the substitute authorizes the sign's relocation under those circumstances to a location instead in which a commercial sign is permitted under statutory provisions relating to highway beautification or rules adopted thereunder</w:t>
            </w:r>
            <w:r w:rsidR="00F36388" w:rsidRPr="00F36388">
              <w:rPr>
                <w:bCs/>
              </w:rPr>
              <w:t>.</w:t>
            </w:r>
            <w:r w:rsidR="009E2041">
              <w:rPr>
                <w:bCs/>
              </w:rPr>
              <w:t xml:space="preserve"> </w:t>
            </w:r>
            <w:r w:rsidR="00013467">
              <w:rPr>
                <w:bCs/>
              </w:rPr>
              <w:t xml:space="preserve">The substitute omits </w:t>
            </w:r>
            <w:r w:rsidR="007F774C">
              <w:rPr>
                <w:bCs/>
              </w:rPr>
              <w:t xml:space="preserve">a </w:t>
            </w:r>
            <w:r w:rsidR="00013467">
              <w:rPr>
                <w:bCs/>
              </w:rPr>
              <w:t xml:space="preserve">provision that appeared in the introduced </w:t>
            </w:r>
            <w:r w:rsidR="00013467" w:rsidRPr="007F774C">
              <w:rPr>
                <w:bCs/>
              </w:rPr>
              <w:t>authoriz</w:t>
            </w:r>
            <w:r w:rsidR="007F774C">
              <w:rPr>
                <w:bCs/>
              </w:rPr>
              <w:t>ing</w:t>
            </w:r>
            <w:r w:rsidR="00013467" w:rsidRPr="007F774C">
              <w:rPr>
                <w:bCs/>
              </w:rPr>
              <w:t xml:space="preserve"> an adjusted or relocated sign to be erected to a height and angle to make it clearly visible to traffic on the main-traveled way of a highway and requiring such a sign be the same size as the previous sign</w:t>
            </w:r>
            <w:r w:rsidR="007F774C">
              <w:rPr>
                <w:bCs/>
              </w:rPr>
              <w:t xml:space="preserve">. The substitute includes a provision that was absent from the introduced </w:t>
            </w:r>
            <w:r w:rsidR="00AB5F11" w:rsidRPr="007F774C">
              <w:rPr>
                <w:bCs/>
              </w:rPr>
              <w:t>establish</w:t>
            </w:r>
            <w:r w:rsidR="007F774C">
              <w:rPr>
                <w:bCs/>
              </w:rPr>
              <w:t>ing</w:t>
            </w:r>
            <w:r w:rsidR="00AB5F11" w:rsidRPr="007F774C">
              <w:rPr>
                <w:bCs/>
              </w:rPr>
              <w:t xml:space="preserve"> that the owner of the sign is responsible for all costs associated with relocating a sign due to the obstruction of the view and readability of the sign and is not entitled to any compensation for those costs.</w:t>
            </w:r>
            <w:r w:rsidRPr="007F774C">
              <w:rPr>
                <w:bCs/>
              </w:rPr>
              <w:t xml:space="preserve"> </w:t>
            </w:r>
          </w:p>
          <w:p w14:paraId="5973984D" w14:textId="77777777" w:rsidR="0087491A" w:rsidRDefault="0087491A" w:rsidP="00C73C44">
            <w:pPr>
              <w:jc w:val="both"/>
              <w:rPr>
                <w:bCs/>
              </w:rPr>
            </w:pPr>
          </w:p>
          <w:p w14:paraId="5B05719B" w14:textId="27456A4C" w:rsidR="00AB5F11" w:rsidRPr="0087491A" w:rsidRDefault="00BB0847" w:rsidP="00C73C44">
            <w:pPr>
              <w:jc w:val="both"/>
              <w:rPr>
                <w:bCs/>
              </w:rPr>
            </w:pPr>
            <w:r w:rsidRPr="0087491A">
              <w:rPr>
                <w:bCs/>
              </w:rPr>
              <w:t>The substitute omits the specificatio</w:t>
            </w:r>
            <w:r w:rsidRPr="0087491A">
              <w:rPr>
                <w:bCs/>
              </w:rPr>
              <w:t xml:space="preserve">n that appeared in the introduced that the applicable ordinance to which a county or municipality must provide exception for </w:t>
            </w:r>
            <w:r>
              <w:rPr>
                <w:bCs/>
              </w:rPr>
              <w:t xml:space="preserve">the </w:t>
            </w:r>
            <w:r w:rsidRPr="0087491A">
              <w:rPr>
                <w:bCs/>
              </w:rPr>
              <w:t>relocation or height adjustment of a commercial sign is a zoning ordinance. Additionally, the substitute does not include a cou</w:t>
            </w:r>
            <w:r w:rsidRPr="0087491A">
              <w:rPr>
                <w:bCs/>
              </w:rPr>
              <w:t xml:space="preserve">nty in that requirement to provide for the relocation by an exception to an ordinance and does not </w:t>
            </w:r>
            <w:r>
              <w:rPr>
                <w:bCs/>
              </w:rPr>
              <w:t>include providing for the</w:t>
            </w:r>
            <w:r w:rsidRPr="0087491A">
              <w:rPr>
                <w:bCs/>
              </w:rPr>
              <w:t xml:space="preserve"> height adjustment</w:t>
            </w:r>
            <w:r>
              <w:rPr>
                <w:bCs/>
              </w:rPr>
              <w:t xml:space="preserve"> of a sign in the requirement</w:t>
            </w:r>
            <w:r w:rsidRPr="0087491A">
              <w:rPr>
                <w:bCs/>
              </w:rPr>
              <w:t>.</w:t>
            </w:r>
          </w:p>
          <w:p w14:paraId="52082746" w14:textId="77777777" w:rsidR="009E2041" w:rsidRDefault="009E2041" w:rsidP="00C73C44">
            <w:pPr>
              <w:jc w:val="both"/>
              <w:rPr>
                <w:bCs/>
              </w:rPr>
            </w:pPr>
          </w:p>
          <w:p w14:paraId="4A8A20A6" w14:textId="4BB9FF23" w:rsidR="0096144B" w:rsidRPr="00E92D02" w:rsidRDefault="00BB0847" w:rsidP="00C73C44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Whereas the introduced </w:t>
            </w:r>
            <w:r w:rsidR="0087491A">
              <w:rPr>
                <w:bCs/>
              </w:rPr>
              <w:t>established that the rights associated with an off-premise sign that is lawfully in existence but no longer complies with current applicable laws and regulations vest in the sign's owner, t</w:t>
            </w:r>
            <w:r>
              <w:rPr>
                <w:bCs/>
              </w:rPr>
              <w:t>he substitute</w:t>
            </w:r>
            <w:r w:rsidR="009E2041">
              <w:rPr>
                <w:bCs/>
              </w:rPr>
              <w:t xml:space="preserve"> </w:t>
            </w:r>
            <w:r w:rsidR="0087491A">
              <w:rPr>
                <w:bCs/>
              </w:rPr>
              <w:t>makes</w:t>
            </w:r>
            <w:r w:rsidR="009E2041">
              <w:rPr>
                <w:bCs/>
              </w:rPr>
              <w:t xml:space="preserve"> th</w:t>
            </w:r>
            <w:r w:rsidR="0087491A">
              <w:rPr>
                <w:bCs/>
              </w:rPr>
              <w:t>at</w:t>
            </w:r>
            <w:r w:rsidR="009E2041">
              <w:rPr>
                <w:bCs/>
              </w:rPr>
              <w:t xml:space="preserve"> provision </w:t>
            </w:r>
            <w:r w:rsidR="0087491A">
              <w:rPr>
                <w:bCs/>
              </w:rPr>
              <w:t>applicable instead with respect</w:t>
            </w:r>
            <w:r w:rsidR="00B13A24">
              <w:rPr>
                <w:bCs/>
              </w:rPr>
              <w:t xml:space="preserve"> to a commercial sign</w:t>
            </w:r>
            <w:r w:rsidR="00CF575D">
              <w:rPr>
                <w:bCs/>
              </w:rPr>
              <w:t>, as defined by statutory provisions relating to highway beautification,</w:t>
            </w:r>
            <w:r w:rsidR="00B13A24">
              <w:rPr>
                <w:bCs/>
              </w:rPr>
              <w:t xml:space="preserve"> that </w:t>
            </w:r>
            <w:r w:rsidR="0087491A">
              <w:rPr>
                <w:bCs/>
              </w:rPr>
              <w:t>was</w:t>
            </w:r>
            <w:r w:rsidR="00B13A24">
              <w:rPr>
                <w:bCs/>
              </w:rPr>
              <w:t xml:space="preserve"> lawfully erected </w:t>
            </w:r>
            <w:r w:rsidR="00CF575D">
              <w:rPr>
                <w:bCs/>
              </w:rPr>
              <w:t>but</w:t>
            </w:r>
            <w:r w:rsidR="00B13A24">
              <w:rPr>
                <w:bCs/>
              </w:rPr>
              <w:t xml:space="preserve"> no longer complies with </w:t>
            </w:r>
            <w:r w:rsidR="00CF575D">
              <w:rPr>
                <w:bCs/>
              </w:rPr>
              <w:t xml:space="preserve">those </w:t>
            </w:r>
            <w:r w:rsidR="00B13A24">
              <w:rPr>
                <w:bCs/>
              </w:rPr>
              <w:t xml:space="preserve">laws and regulations. </w:t>
            </w:r>
            <w:r>
              <w:rPr>
                <w:bCs/>
              </w:rPr>
              <w:t>The</w:t>
            </w:r>
            <w:r w:rsidRPr="0096144B">
              <w:rPr>
                <w:bCs/>
              </w:rPr>
              <w:t xml:space="preserve"> substitute </w:t>
            </w:r>
            <w:r w:rsidR="00CF575D">
              <w:rPr>
                <w:bCs/>
              </w:rPr>
              <w:t xml:space="preserve">accordingly </w:t>
            </w:r>
            <w:r w:rsidRPr="0096144B">
              <w:rPr>
                <w:bCs/>
              </w:rPr>
              <w:t xml:space="preserve">omits </w:t>
            </w:r>
            <w:r w:rsidR="00CF575D">
              <w:rPr>
                <w:bCs/>
              </w:rPr>
              <w:t>the provision</w:t>
            </w:r>
            <w:r>
              <w:rPr>
                <w:bCs/>
              </w:rPr>
              <w:t xml:space="preserve"> </w:t>
            </w:r>
            <w:r w:rsidR="00CF575D">
              <w:rPr>
                <w:bCs/>
              </w:rPr>
              <w:t xml:space="preserve">included in the introduced </w:t>
            </w:r>
            <w:r>
              <w:rPr>
                <w:bCs/>
              </w:rPr>
              <w:t>defini</w:t>
            </w:r>
            <w:r w:rsidR="00CF575D">
              <w:rPr>
                <w:bCs/>
              </w:rPr>
              <w:t xml:space="preserve">ng </w:t>
            </w:r>
            <w:r>
              <w:rPr>
                <w:bCs/>
              </w:rPr>
              <w:t xml:space="preserve">"off-premise sign" </w:t>
            </w:r>
            <w:r w:rsidR="00CF575D">
              <w:rPr>
                <w:bCs/>
              </w:rPr>
              <w:t xml:space="preserve">as </w:t>
            </w:r>
            <w:r w:rsidR="00CF575D" w:rsidRPr="00CF575D">
              <w:rPr>
                <w:bCs/>
              </w:rPr>
              <w:t>an outdoor sign displaying advertising that pertains to a business, person, organization, activity, event, place, service, or product not principally located or primarily manufactured or sold on the premises on which the sign is located</w:t>
            </w:r>
            <w:r w:rsidR="00CF575D">
              <w:rPr>
                <w:bCs/>
              </w:rPr>
              <w:t>.</w:t>
            </w:r>
          </w:p>
        </w:tc>
      </w:tr>
      <w:tr w:rsidR="00A90023" w14:paraId="1BD181E7" w14:textId="77777777" w:rsidTr="00345119">
        <w:tc>
          <w:tcPr>
            <w:tcW w:w="9576" w:type="dxa"/>
          </w:tcPr>
          <w:p w14:paraId="4FAC309B" w14:textId="77777777" w:rsidR="009551CB" w:rsidRPr="009C1E9A" w:rsidRDefault="009551CB" w:rsidP="00C73C44">
            <w:pPr>
              <w:rPr>
                <w:b/>
                <w:u w:val="single"/>
              </w:rPr>
            </w:pPr>
          </w:p>
        </w:tc>
      </w:tr>
      <w:tr w:rsidR="00A90023" w14:paraId="60E31A42" w14:textId="77777777" w:rsidTr="00345119">
        <w:tc>
          <w:tcPr>
            <w:tcW w:w="9576" w:type="dxa"/>
          </w:tcPr>
          <w:p w14:paraId="45FEF3FD" w14:textId="77777777" w:rsidR="009551CB" w:rsidRPr="009551CB" w:rsidRDefault="009551CB" w:rsidP="00C73C44">
            <w:pPr>
              <w:jc w:val="both"/>
            </w:pPr>
          </w:p>
        </w:tc>
      </w:tr>
    </w:tbl>
    <w:p w14:paraId="7EBBAC51" w14:textId="77777777" w:rsidR="008423E4" w:rsidRPr="00BE0E75" w:rsidRDefault="008423E4" w:rsidP="00C73C44">
      <w:pPr>
        <w:jc w:val="both"/>
        <w:rPr>
          <w:rFonts w:ascii="Arial" w:hAnsi="Arial"/>
          <w:sz w:val="16"/>
          <w:szCs w:val="16"/>
        </w:rPr>
      </w:pPr>
    </w:p>
    <w:p w14:paraId="00CE9465" w14:textId="77777777" w:rsidR="004108C3" w:rsidRPr="008423E4" w:rsidRDefault="004108C3" w:rsidP="00C73C4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AE45" w14:textId="77777777" w:rsidR="00000000" w:rsidRDefault="00BB0847">
      <w:r>
        <w:separator/>
      </w:r>
    </w:p>
  </w:endnote>
  <w:endnote w:type="continuationSeparator" w:id="0">
    <w:p w14:paraId="729B4E38" w14:textId="77777777" w:rsidR="00000000" w:rsidRDefault="00BB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653B" w14:textId="77777777" w:rsidR="00754946" w:rsidRDefault="00754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0023" w14:paraId="1D725594" w14:textId="77777777" w:rsidTr="009C1E9A">
      <w:trPr>
        <w:cantSplit/>
      </w:trPr>
      <w:tc>
        <w:tcPr>
          <w:tcW w:w="0" w:type="pct"/>
        </w:tcPr>
        <w:p w14:paraId="285029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49C0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765D8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EFC5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7249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0023" w14:paraId="083AF070" w14:textId="77777777" w:rsidTr="009C1E9A">
      <w:trPr>
        <w:cantSplit/>
      </w:trPr>
      <w:tc>
        <w:tcPr>
          <w:tcW w:w="0" w:type="pct"/>
        </w:tcPr>
        <w:p w14:paraId="4649E3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A41D09" w14:textId="6609B4B3" w:rsidR="00EC379B" w:rsidRPr="009C1E9A" w:rsidRDefault="00BB08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22870-D</w:t>
          </w:r>
        </w:p>
      </w:tc>
      <w:tc>
        <w:tcPr>
          <w:tcW w:w="2453" w:type="pct"/>
        </w:tcPr>
        <w:p w14:paraId="01FAA93B" w14:textId="6A8D3749" w:rsidR="00EC379B" w:rsidRDefault="00BB08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D7ED0">
            <w:t>23.101.486</w:t>
          </w:r>
          <w:r>
            <w:fldChar w:fldCharType="end"/>
          </w:r>
        </w:p>
      </w:tc>
    </w:tr>
    <w:tr w:rsidR="00A90023" w14:paraId="73053C92" w14:textId="77777777" w:rsidTr="009C1E9A">
      <w:trPr>
        <w:cantSplit/>
      </w:trPr>
      <w:tc>
        <w:tcPr>
          <w:tcW w:w="0" w:type="pct"/>
        </w:tcPr>
        <w:p w14:paraId="5826AE6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FDEC0B" w14:textId="7F7BF58F" w:rsidR="00EC379B" w:rsidRPr="009C1E9A" w:rsidRDefault="00BB084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20485</w:t>
          </w:r>
        </w:p>
      </w:tc>
      <w:tc>
        <w:tcPr>
          <w:tcW w:w="2453" w:type="pct"/>
        </w:tcPr>
        <w:p w14:paraId="4E5540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A5E9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0023" w14:paraId="6E6FE4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F1945E" w14:textId="77777777" w:rsidR="00EC379B" w:rsidRDefault="00BB08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D5A0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A6746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52DB" w14:textId="77777777" w:rsidR="00754946" w:rsidRDefault="00754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E0B5" w14:textId="77777777" w:rsidR="00000000" w:rsidRDefault="00BB0847">
      <w:r>
        <w:separator/>
      </w:r>
    </w:p>
  </w:footnote>
  <w:footnote w:type="continuationSeparator" w:id="0">
    <w:p w14:paraId="113C9F47" w14:textId="77777777" w:rsidR="00000000" w:rsidRDefault="00BB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EFAD" w14:textId="77777777" w:rsidR="00754946" w:rsidRDefault="00754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C9E6" w14:textId="77777777" w:rsidR="00754946" w:rsidRDefault="00754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2A56" w14:textId="77777777" w:rsidR="00754946" w:rsidRDefault="00754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15"/>
    <w:multiLevelType w:val="hybridMultilevel"/>
    <w:tmpl w:val="86FC0F5E"/>
    <w:lvl w:ilvl="0" w:tplc="F3A83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EA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8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43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F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E1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A9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A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64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672C"/>
    <w:multiLevelType w:val="hybridMultilevel"/>
    <w:tmpl w:val="C0EEEFFC"/>
    <w:lvl w:ilvl="0" w:tplc="42169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04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44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7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4E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ED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E9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2E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EA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043F"/>
    <w:multiLevelType w:val="hybridMultilevel"/>
    <w:tmpl w:val="05DE52E4"/>
    <w:lvl w:ilvl="0" w:tplc="72102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66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A8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62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1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0F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3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AE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777">
    <w:abstractNumId w:val="0"/>
  </w:num>
  <w:num w:numId="2" w16cid:durableId="948857583">
    <w:abstractNumId w:val="2"/>
  </w:num>
  <w:num w:numId="3" w16cid:durableId="210653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11"/>
    <w:rsid w:val="00000A70"/>
    <w:rsid w:val="000022AE"/>
    <w:rsid w:val="000032B8"/>
    <w:rsid w:val="00003B06"/>
    <w:rsid w:val="000054B9"/>
    <w:rsid w:val="00007461"/>
    <w:rsid w:val="0001117E"/>
    <w:rsid w:val="0001125F"/>
    <w:rsid w:val="0001338E"/>
    <w:rsid w:val="00013467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478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FDD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EE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5F2B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3BD"/>
    <w:rsid w:val="0017725B"/>
    <w:rsid w:val="0018050C"/>
    <w:rsid w:val="0018117F"/>
    <w:rsid w:val="001824ED"/>
    <w:rsid w:val="00183262"/>
    <w:rsid w:val="00183D8F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565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262"/>
    <w:rsid w:val="001E2CAD"/>
    <w:rsid w:val="001E34DB"/>
    <w:rsid w:val="001E37CD"/>
    <w:rsid w:val="001E4070"/>
    <w:rsid w:val="001E655E"/>
    <w:rsid w:val="001F3CA0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BE7"/>
    <w:rsid w:val="0022177D"/>
    <w:rsid w:val="002242DA"/>
    <w:rsid w:val="00224C37"/>
    <w:rsid w:val="002304DF"/>
    <w:rsid w:val="00232059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710"/>
    <w:rsid w:val="002D0099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011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F0B"/>
    <w:rsid w:val="003B7984"/>
    <w:rsid w:val="003B7AF6"/>
    <w:rsid w:val="003C0411"/>
    <w:rsid w:val="003C1871"/>
    <w:rsid w:val="003C1C55"/>
    <w:rsid w:val="003C25EA"/>
    <w:rsid w:val="003C36FD"/>
    <w:rsid w:val="003C664C"/>
    <w:rsid w:val="003D5F5D"/>
    <w:rsid w:val="003D726D"/>
    <w:rsid w:val="003E0875"/>
    <w:rsid w:val="003E0BB8"/>
    <w:rsid w:val="003E6CB0"/>
    <w:rsid w:val="003F1F5E"/>
    <w:rsid w:val="003F286A"/>
    <w:rsid w:val="003F361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79D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389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5F1"/>
    <w:rsid w:val="00515466"/>
    <w:rsid w:val="005154F7"/>
    <w:rsid w:val="005159DE"/>
    <w:rsid w:val="005269CE"/>
    <w:rsid w:val="005304B2"/>
    <w:rsid w:val="005336BD"/>
    <w:rsid w:val="00534A49"/>
    <w:rsid w:val="00534FB5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CD6"/>
    <w:rsid w:val="005832EE"/>
    <w:rsid w:val="005833CD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DE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D38"/>
    <w:rsid w:val="005D767D"/>
    <w:rsid w:val="005D7A30"/>
    <w:rsid w:val="005D7D3B"/>
    <w:rsid w:val="005E1999"/>
    <w:rsid w:val="005E1A68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90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C9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9D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D4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3C1"/>
    <w:rsid w:val="00711E3D"/>
    <w:rsid w:val="00711E85"/>
    <w:rsid w:val="00712DDA"/>
    <w:rsid w:val="00717739"/>
    <w:rsid w:val="00717DE4"/>
    <w:rsid w:val="00721724"/>
    <w:rsid w:val="00722EC5"/>
    <w:rsid w:val="00723326"/>
    <w:rsid w:val="00723E60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0A1"/>
    <w:rsid w:val="007509BE"/>
    <w:rsid w:val="0075287B"/>
    <w:rsid w:val="0075332F"/>
    <w:rsid w:val="00754946"/>
    <w:rsid w:val="00755C7B"/>
    <w:rsid w:val="0076168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670"/>
    <w:rsid w:val="0079487D"/>
    <w:rsid w:val="007966D4"/>
    <w:rsid w:val="00796A0A"/>
    <w:rsid w:val="0079792C"/>
    <w:rsid w:val="007A0989"/>
    <w:rsid w:val="007A2A9E"/>
    <w:rsid w:val="007A331F"/>
    <w:rsid w:val="007A3844"/>
    <w:rsid w:val="007A4381"/>
    <w:rsid w:val="007A5466"/>
    <w:rsid w:val="007A7EC1"/>
    <w:rsid w:val="007B399E"/>
    <w:rsid w:val="007B4FCA"/>
    <w:rsid w:val="007B789E"/>
    <w:rsid w:val="007B7B85"/>
    <w:rsid w:val="007C462E"/>
    <w:rsid w:val="007C496B"/>
    <w:rsid w:val="007C6803"/>
    <w:rsid w:val="007D2892"/>
    <w:rsid w:val="007D2DCC"/>
    <w:rsid w:val="007D47E1"/>
    <w:rsid w:val="007D7FCB"/>
    <w:rsid w:val="007E12CD"/>
    <w:rsid w:val="007E33B6"/>
    <w:rsid w:val="007E59E8"/>
    <w:rsid w:val="007F3861"/>
    <w:rsid w:val="007F4162"/>
    <w:rsid w:val="007F5441"/>
    <w:rsid w:val="007F7668"/>
    <w:rsid w:val="007F774C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057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CC7"/>
    <w:rsid w:val="00866F9D"/>
    <w:rsid w:val="008673D9"/>
    <w:rsid w:val="00871775"/>
    <w:rsid w:val="00871AEF"/>
    <w:rsid w:val="008726E5"/>
    <w:rsid w:val="0087289E"/>
    <w:rsid w:val="0087491A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0D8"/>
    <w:rsid w:val="008D7427"/>
    <w:rsid w:val="008E12FB"/>
    <w:rsid w:val="008E3338"/>
    <w:rsid w:val="008E47BE"/>
    <w:rsid w:val="008E54CF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465"/>
    <w:rsid w:val="0091393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422"/>
    <w:rsid w:val="0094653B"/>
    <w:rsid w:val="009465AB"/>
    <w:rsid w:val="00946DEE"/>
    <w:rsid w:val="00953499"/>
    <w:rsid w:val="00954A16"/>
    <w:rsid w:val="009551CB"/>
    <w:rsid w:val="0095696D"/>
    <w:rsid w:val="009605E8"/>
    <w:rsid w:val="00960F2D"/>
    <w:rsid w:val="0096144B"/>
    <w:rsid w:val="00963154"/>
    <w:rsid w:val="0096482F"/>
    <w:rsid w:val="009649B4"/>
    <w:rsid w:val="00964E3A"/>
    <w:rsid w:val="00967126"/>
    <w:rsid w:val="009704D1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E61"/>
    <w:rsid w:val="009C5A1D"/>
    <w:rsid w:val="009C6B08"/>
    <w:rsid w:val="009C70FC"/>
    <w:rsid w:val="009D002B"/>
    <w:rsid w:val="009D37C7"/>
    <w:rsid w:val="009D4BBD"/>
    <w:rsid w:val="009D5A41"/>
    <w:rsid w:val="009E13BF"/>
    <w:rsid w:val="009E2041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2C4"/>
    <w:rsid w:val="00A03F54"/>
    <w:rsid w:val="00A0432D"/>
    <w:rsid w:val="00A07689"/>
    <w:rsid w:val="00A07906"/>
    <w:rsid w:val="00A10908"/>
    <w:rsid w:val="00A112E6"/>
    <w:rsid w:val="00A12330"/>
    <w:rsid w:val="00A1259F"/>
    <w:rsid w:val="00A1446F"/>
    <w:rsid w:val="00A151B5"/>
    <w:rsid w:val="00A220FF"/>
    <w:rsid w:val="00A227E0"/>
    <w:rsid w:val="00A22966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B40"/>
    <w:rsid w:val="00A506EE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7D5"/>
    <w:rsid w:val="00A70E35"/>
    <w:rsid w:val="00A720DC"/>
    <w:rsid w:val="00A75FED"/>
    <w:rsid w:val="00A803CF"/>
    <w:rsid w:val="00A8133F"/>
    <w:rsid w:val="00A82CB4"/>
    <w:rsid w:val="00A837A8"/>
    <w:rsid w:val="00A83C36"/>
    <w:rsid w:val="00A90023"/>
    <w:rsid w:val="00A932BB"/>
    <w:rsid w:val="00A93579"/>
    <w:rsid w:val="00A93934"/>
    <w:rsid w:val="00A9514B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5F11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7E8"/>
    <w:rsid w:val="00B07488"/>
    <w:rsid w:val="00B075A2"/>
    <w:rsid w:val="00B10DD2"/>
    <w:rsid w:val="00B115DC"/>
    <w:rsid w:val="00B11952"/>
    <w:rsid w:val="00B13A24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551"/>
    <w:rsid w:val="00B43672"/>
    <w:rsid w:val="00B473D8"/>
    <w:rsid w:val="00B503C4"/>
    <w:rsid w:val="00B5165A"/>
    <w:rsid w:val="00B524C1"/>
    <w:rsid w:val="00B52C8D"/>
    <w:rsid w:val="00B5617A"/>
    <w:rsid w:val="00B564BF"/>
    <w:rsid w:val="00B6104E"/>
    <w:rsid w:val="00B610C7"/>
    <w:rsid w:val="00B62106"/>
    <w:rsid w:val="00B626A8"/>
    <w:rsid w:val="00B65695"/>
    <w:rsid w:val="00B65CA2"/>
    <w:rsid w:val="00B66526"/>
    <w:rsid w:val="00B665A3"/>
    <w:rsid w:val="00B7368E"/>
    <w:rsid w:val="00B73BB4"/>
    <w:rsid w:val="00B7771C"/>
    <w:rsid w:val="00B80532"/>
    <w:rsid w:val="00B82039"/>
    <w:rsid w:val="00B82454"/>
    <w:rsid w:val="00B83F39"/>
    <w:rsid w:val="00B90097"/>
    <w:rsid w:val="00B90999"/>
    <w:rsid w:val="00B91AD7"/>
    <w:rsid w:val="00B92D23"/>
    <w:rsid w:val="00B95BC8"/>
    <w:rsid w:val="00B96E87"/>
    <w:rsid w:val="00B97307"/>
    <w:rsid w:val="00BA146A"/>
    <w:rsid w:val="00BA2B33"/>
    <w:rsid w:val="00BA32EE"/>
    <w:rsid w:val="00BB0847"/>
    <w:rsid w:val="00BB5B36"/>
    <w:rsid w:val="00BB6434"/>
    <w:rsid w:val="00BB6E34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AF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0BD"/>
    <w:rsid w:val="00BE71CD"/>
    <w:rsid w:val="00BE7748"/>
    <w:rsid w:val="00BE7BDA"/>
    <w:rsid w:val="00BF03EF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C44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AB5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75D"/>
    <w:rsid w:val="00CF581C"/>
    <w:rsid w:val="00CF71E0"/>
    <w:rsid w:val="00D001B1"/>
    <w:rsid w:val="00D003A8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7A2"/>
    <w:rsid w:val="00D37BCF"/>
    <w:rsid w:val="00D40F93"/>
    <w:rsid w:val="00D42277"/>
    <w:rsid w:val="00D43C59"/>
    <w:rsid w:val="00D44ADE"/>
    <w:rsid w:val="00D50D04"/>
    <w:rsid w:val="00D50D65"/>
    <w:rsid w:val="00D512E0"/>
    <w:rsid w:val="00D51425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D7B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7D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ED0"/>
    <w:rsid w:val="00DE34B2"/>
    <w:rsid w:val="00DE49DE"/>
    <w:rsid w:val="00DE618B"/>
    <w:rsid w:val="00DE6EC2"/>
    <w:rsid w:val="00DF06CD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5EA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E65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D02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F5E"/>
    <w:rsid w:val="00ED0665"/>
    <w:rsid w:val="00ED12C0"/>
    <w:rsid w:val="00ED19F0"/>
    <w:rsid w:val="00ED2B50"/>
    <w:rsid w:val="00ED3A32"/>
    <w:rsid w:val="00ED3BDE"/>
    <w:rsid w:val="00ED68FB"/>
    <w:rsid w:val="00ED6D06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38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C67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648"/>
    <w:rsid w:val="00FF517B"/>
    <w:rsid w:val="00FF6A66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015FA8-CA85-43BB-8A06-8EA5C622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520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2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20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2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2011"/>
    <w:rPr>
      <w:b/>
      <w:bCs/>
    </w:rPr>
  </w:style>
  <w:style w:type="paragraph" w:styleId="Revision">
    <w:name w:val="Revision"/>
    <w:hidden/>
    <w:uiPriority w:val="99"/>
    <w:semiHidden/>
    <w:rsid w:val="00B65C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6176</Characters>
  <Application>Microsoft Office Word</Application>
  <DocSecurity>4</DocSecurity>
  <Lines>120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HB02806 (Committee Report (Substituted))</vt:lpstr>
    </vt:vector>
  </TitlesOfParts>
  <Company>State of Texas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22870</dc:subject>
  <dc:creator>State of Texas</dc:creator>
  <dc:description>HB 2806 by Canales-(H)Transportation (Substitute Document Number: 88R 20485)</dc:description>
  <cp:lastModifiedBy>Damian Duarte</cp:lastModifiedBy>
  <cp:revision>2</cp:revision>
  <cp:lastPrinted>2003-11-26T17:21:00Z</cp:lastPrinted>
  <dcterms:created xsi:type="dcterms:W3CDTF">2023-04-11T22:56:00Z</dcterms:created>
  <dcterms:modified xsi:type="dcterms:W3CDTF">2023-04-11T22:56:00Z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23.101.486</vt:lpwstr>
  </property>
</Properties>
</file>