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197A" w14:paraId="6978F45D" w14:textId="77777777" w:rsidTr="00345119">
        <w:tc>
          <w:tcPr>
            <w:tcW w:w="9576" w:type="dxa"/>
            <w:noWrap/>
          </w:tcPr>
          <w:p w14:paraId="21F25A25" w14:textId="77777777" w:rsidR="008423E4" w:rsidRPr="0022177D" w:rsidRDefault="00400DB4" w:rsidP="00CB2BFB">
            <w:pPr>
              <w:pStyle w:val="Heading1"/>
            </w:pPr>
            <w:r w:rsidRPr="00631897">
              <w:t>BILL ANALYSIS</w:t>
            </w:r>
          </w:p>
        </w:tc>
      </w:tr>
    </w:tbl>
    <w:p w14:paraId="60437318" w14:textId="77777777" w:rsidR="008423E4" w:rsidRPr="0022177D" w:rsidRDefault="008423E4" w:rsidP="00CB2BFB">
      <w:pPr>
        <w:jc w:val="center"/>
      </w:pPr>
    </w:p>
    <w:p w14:paraId="16A33B5C" w14:textId="77777777" w:rsidR="008423E4" w:rsidRPr="00B31F0E" w:rsidRDefault="008423E4" w:rsidP="00CB2BFB"/>
    <w:p w14:paraId="0F28F185" w14:textId="77777777" w:rsidR="008423E4" w:rsidRPr="00742794" w:rsidRDefault="008423E4" w:rsidP="00CB2BFB">
      <w:pPr>
        <w:tabs>
          <w:tab w:val="right" w:pos="9360"/>
        </w:tabs>
      </w:pPr>
    </w:p>
    <w:tbl>
      <w:tblPr>
        <w:tblW w:w="0" w:type="auto"/>
        <w:tblLayout w:type="fixed"/>
        <w:tblLook w:val="01E0" w:firstRow="1" w:lastRow="1" w:firstColumn="1" w:lastColumn="1" w:noHBand="0" w:noVBand="0"/>
      </w:tblPr>
      <w:tblGrid>
        <w:gridCol w:w="9576"/>
      </w:tblGrid>
      <w:tr w:rsidR="00EE197A" w14:paraId="40599843" w14:textId="77777777" w:rsidTr="00345119">
        <w:tc>
          <w:tcPr>
            <w:tcW w:w="9576" w:type="dxa"/>
          </w:tcPr>
          <w:p w14:paraId="30C63E87" w14:textId="33E1338C" w:rsidR="008423E4" w:rsidRPr="00861995" w:rsidRDefault="00400DB4" w:rsidP="00CB2BFB">
            <w:pPr>
              <w:jc w:val="right"/>
            </w:pPr>
            <w:r>
              <w:t>H.B. 2872</w:t>
            </w:r>
          </w:p>
        </w:tc>
      </w:tr>
      <w:tr w:rsidR="00EE197A" w14:paraId="68858825" w14:textId="77777777" w:rsidTr="00345119">
        <w:tc>
          <w:tcPr>
            <w:tcW w:w="9576" w:type="dxa"/>
          </w:tcPr>
          <w:p w14:paraId="4833064D" w14:textId="5AC3AAE1" w:rsidR="008423E4" w:rsidRPr="00861995" w:rsidRDefault="00400DB4" w:rsidP="00CB2BFB">
            <w:pPr>
              <w:jc w:val="right"/>
            </w:pPr>
            <w:r>
              <w:t xml:space="preserve">By: </w:t>
            </w:r>
            <w:r w:rsidR="00AB14CD">
              <w:t>González, Mary</w:t>
            </w:r>
          </w:p>
        </w:tc>
      </w:tr>
      <w:tr w:rsidR="00EE197A" w14:paraId="4C0F3D4A" w14:textId="77777777" w:rsidTr="00345119">
        <w:tc>
          <w:tcPr>
            <w:tcW w:w="9576" w:type="dxa"/>
          </w:tcPr>
          <w:p w14:paraId="65C4DAEA" w14:textId="58BF33D9" w:rsidR="008423E4" w:rsidRPr="00861995" w:rsidRDefault="00400DB4" w:rsidP="00CB2BFB">
            <w:pPr>
              <w:jc w:val="right"/>
            </w:pPr>
            <w:r>
              <w:t>International Relations &amp; Economic Development</w:t>
            </w:r>
          </w:p>
        </w:tc>
      </w:tr>
      <w:tr w:rsidR="00EE197A" w14:paraId="7DFE82E8" w14:textId="77777777" w:rsidTr="00345119">
        <w:tc>
          <w:tcPr>
            <w:tcW w:w="9576" w:type="dxa"/>
          </w:tcPr>
          <w:p w14:paraId="7FAF2A81" w14:textId="33CACD51" w:rsidR="008423E4" w:rsidRDefault="00400DB4" w:rsidP="00CB2BFB">
            <w:pPr>
              <w:jc w:val="right"/>
            </w:pPr>
            <w:r>
              <w:t>Committee Report (Unamended)</w:t>
            </w:r>
          </w:p>
        </w:tc>
      </w:tr>
    </w:tbl>
    <w:p w14:paraId="27F0FBCA" w14:textId="77777777" w:rsidR="008423E4" w:rsidRDefault="008423E4" w:rsidP="00CB2BFB">
      <w:pPr>
        <w:tabs>
          <w:tab w:val="right" w:pos="9360"/>
        </w:tabs>
      </w:pPr>
    </w:p>
    <w:p w14:paraId="62F83173" w14:textId="77777777" w:rsidR="008423E4" w:rsidRDefault="008423E4" w:rsidP="00CB2BFB"/>
    <w:p w14:paraId="668DE40A" w14:textId="77777777" w:rsidR="008423E4" w:rsidRDefault="008423E4" w:rsidP="00CB2BFB"/>
    <w:tbl>
      <w:tblPr>
        <w:tblW w:w="0" w:type="auto"/>
        <w:tblCellMar>
          <w:left w:w="115" w:type="dxa"/>
          <w:right w:w="115" w:type="dxa"/>
        </w:tblCellMar>
        <w:tblLook w:val="01E0" w:firstRow="1" w:lastRow="1" w:firstColumn="1" w:lastColumn="1" w:noHBand="0" w:noVBand="0"/>
      </w:tblPr>
      <w:tblGrid>
        <w:gridCol w:w="9360"/>
      </w:tblGrid>
      <w:tr w:rsidR="00EE197A" w14:paraId="0620A060" w14:textId="77777777" w:rsidTr="00345119">
        <w:tc>
          <w:tcPr>
            <w:tcW w:w="9576" w:type="dxa"/>
          </w:tcPr>
          <w:p w14:paraId="6C72369C" w14:textId="77777777" w:rsidR="008423E4" w:rsidRPr="00A8133F" w:rsidRDefault="00400DB4" w:rsidP="00CB2BFB">
            <w:pPr>
              <w:rPr>
                <w:b/>
              </w:rPr>
            </w:pPr>
            <w:r w:rsidRPr="009C1E9A">
              <w:rPr>
                <w:b/>
                <w:u w:val="single"/>
              </w:rPr>
              <w:t>BACKGROUND AND PURPOSE</w:t>
            </w:r>
            <w:r>
              <w:rPr>
                <w:b/>
              </w:rPr>
              <w:t xml:space="preserve"> </w:t>
            </w:r>
          </w:p>
          <w:p w14:paraId="74A5FCD9" w14:textId="77777777" w:rsidR="008423E4" w:rsidRDefault="008423E4" w:rsidP="00CB2BFB"/>
          <w:p w14:paraId="1EE20C8A" w14:textId="652E14D5" w:rsidR="008423E4" w:rsidRDefault="00400DB4" w:rsidP="00CB2BFB">
            <w:pPr>
              <w:pStyle w:val="Header"/>
              <w:jc w:val="both"/>
            </w:pPr>
            <w:r>
              <w:t xml:space="preserve">There are concerns </w:t>
            </w:r>
            <w:r w:rsidR="00342BCB">
              <w:t>regarding</w:t>
            </w:r>
            <w:r>
              <w:t xml:space="preserve"> employers </w:t>
            </w:r>
            <w:r w:rsidR="00342BCB">
              <w:t xml:space="preserve">that </w:t>
            </w:r>
            <w:r w:rsidR="0064239C">
              <w:t xml:space="preserve">underpay or </w:t>
            </w:r>
            <w:r>
              <w:t xml:space="preserve">fail to pay employees in Texas, </w:t>
            </w:r>
            <w:r w:rsidR="00647C8E">
              <w:t>including</w:t>
            </w:r>
            <w:r>
              <w:t xml:space="preserve"> </w:t>
            </w:r>
            <w:r w:rsidR="00342BCB">
              <w:t xml:space="preserve">those that </w:t>
            </w:r>
            <w:r>
              <w:t>undercount hours worked</w:t>
            </w:r>
            <w:r w:rsidR="00647C8E">
              <w:t xml:space="preserve"> and</w:t>
            </w:r>
            <w:r>
              <w:t xml:space="preserve"> writ</w:t>
            </w:r>
            <w:r w:rsidR="00342BCB">
              <w:t>e</w:t>
            </w:r>
            <w:r>
              <w:t xml:space="preserve"> bad paychecks. In addition to harming workers, legitimate business are undercut by an</w:t>
            </w:r>
            <w:r w:rsidR="004F047E">
              <w:t>y</w:t>
            </w:r>
            <w:r>
              <w:t xml:space="preserve"> unscrupulous business that doesn't pay full wages or minimum wage. </w:t>
            </w:r>
            <w:r w:rsidR="00647C8E">
              <w:t>H.B. 2872 seeks to address these concerns by</w:t>
            </w:r>
            <w:r>
              <w:t xml:space="preserve"> requir</w:t>
            </w:r>
            <w:r w:rsidR="00647C8E">
              <w:t>ing</w:t>
            </w:r>
            <w:r>
              <w:t xml:space="preserve"> the Texas Workforce Commission to </w:t>
            </w:r>
            <w:r w:rsidR="00647C8E">
              <w:t xml:space="preserve">make a publicly </w:t>
            </w:r>
            <w:r>
              <w:t>accessible</w:t>
            </w:r>
            <w:r w:rsidR="00647C8E">
              <w:t xml:space="preserve"> list available on its website</w:t>
            </w:r>
            <w:r>
              <w:t xml:space="preserve"> of employers </w:t>
            </w:r>
            <w:r w:rsidR="00647C8E">
              <w:t>in Texas that have been a</w:t>
            </w:r>
            <w:r w:rsidR="0064239C">
              <w:t>ss</w:t>
            </w:r>
            <w:r w:rsidR="00647C8E">
              <w:t xml:space="preserve">essed an administrative </w:t>
            </w:r>
            <w:r w:rsidR="00647C8E" w:rsidRPr="00647C8E">
              <w:t xml:space="preserve">penalty for acting in bad faith in not paying wages, </w:t>
            </w:r>
            <w:r w:rsidR="004F047E">
              <w:t xml:space="preserve">have been </w:t>
            </w:r>
            <w:r w:rsidR="00647C8E" w:rsidRPr="00647C8E">
              <w:t xml:space="preserve">ordered to pay wages </w:t>
            </w:r>
            <w:r w:rsidR="004F047E">
              <w:t>but have failed to so</w:t>
            </w:r>
            <w:r w:rsidR="00647C8E" w:rsidRPr="00647C8E">
              <w:t xml:space="preserve">, or </w:t>
            </w:r>
            <w:r w:rsidR="004F047E">
              <w:t xml:space="preserve">have been </w:t>
            </w:r>
            <w:r w:rsidR="00647C8E" w:rsidRPr="00647C8E">
              <w:t xml:space="preserve">convicted of </w:t>
            </w:r>
            <w:r w:rsidR="004F047E">
              <w:t>certain offenses relating to wages and theft of service</w:t>
            </w:r>
            <w:r>
              <w:t>.</w:t>
            </w:r>
          </w:p>
          <w:p w14:paraId="6107DFC6" w14:textId="77777777" w:rsidR="008423E4" w:rsidRPr="00E26B13" w:rsidRDefault="008423E4" w:rsidP="00CB2BFB">
            <w:pPr>
              <w:rPr>
                <w:b/>
              </w:rPr>
            </w:pPr>
          </w:p>
        </w:tc>
      </w:tr>
      <w:tr w:rsidR="00EE197A" w14:paraId="7EA592E9" w14:textId="77777777" w:rsidTr="00345119">
        <w:tc>
          <w:tcPr>
            <w:tcW w:w="9576" w:type="dxa"/>
          </w:tcPr>
          <w:p w14:paraId="2CB53681" w14:textId="77777777" w:rsidR="0017725B" w:rsidRDefault="00400DB4" w:rsidP="00CB2BFB">
            <w:pPr>
              <w:rPr>
                <w:b/>
                <w:u w:val="single"/>
              </w:rPr>
            </w:pPr>
            <w:r>
              <w:rPr>
                <w:b/>
                <w:u w:val="single"/>
              </w:rPr>
              <w:t>CRIMINAL JUSTICE IMPACT</w:t>
            </w:r>
          </w:p>
          <w:p w14:paraId="3EF8AC1C" w14:textId="77777777" w:rsidR="0017725B" w:rsidRDefault="0017725B" w:rsidP="00CB2BFB">
            <w:pPr>
              <w:rPr>
                <w:b/>
                <w:u w:val="single"/>
              </w:rPr>
            </w:pPr>
          </w:p>
          <w:p w14:paraId="1283E2EF" w14:textId="68A5B7C6" w:rsidR="00FF6BF7" w:rsidRPr="00FF6BF7" w:rsidRDefault="00400DB4" w:rsidP="00CB2BFB">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52F43BC3" w14:textId="77777777" w:rsidR="0017725B" w:rsidRPr="0017725B" w:rsidRDefault="0017725B" w:rsidP="00CB2BFB">
            <w:pPr>
              <w:rPr>
                <w:b/>
                <w:u w:val="single"/>
              </w:rPr>
            </w:pPr>
          </w:p>
        </w:tc>
      </w:tr>
      <w:tr w:rsidR="00EE197A" w14:paraId="05F4E793" w14:textId="77777777" w:rsidTr="00345119">
        <w:tc>
          <w:tcPr>
            <w:tcW w:w="9576" w:type="dxa"/>
          </w:tcPr>
          <w:p w14:paraId="3101E424" w14:textId="77777777" w:rsidR="008423E4" w:rsidRPr="00A8133F" w:rsidRDefault="00400DB4" w:rsidP="00CB2BFB">
            <w:pPr>
              <w:rPr>
                <w:b/>
              </w:rPr>
            </w:pPr>
            <w:r w:rsidRPr="009C1E9A">
              <w:rPr>
                <w:b/>
                <w:u w:val="single"/>
              </w:rPr>
              <w:t>RULEMAKING AUTHORITY</w:t>
            </w:r>
            <w:r>
              <w:rPr>
                <w:b/>
              </w:rPr>
              <w:t xml:space="preserve"> </w:t>
            </w:r>
          </w:p>
          <w:p w14:paraId="3099F758" w14:textId="77777777" w:rsidR="008423E4" w:rsidRDefault="008423E4" w:rsidP="00CB2BFB"/>
          <w:p w14:paraId="3BE7000C" w14:textId="5489D37E" w:rsidR="00FF6BF7" w:rsidRDefault="00400DB4" w:rsidP="00CB2BFB">
            <w:pPr>
              <w:pStyle w:val="Header"/>
              <w:tabs>
                <w:tab w:val="clear" w:pos="4320"/>
                <w:tab w:val="clear" w:pos="8640"/>
              </w:tabs>
              <w:jc w:val="both"/>
            </w:pPr>
            <w:r>
              <w:t>It is the committee's opinion that rulemaking auth</w:t>
            </w:r>
            <w:r>
              <w:t xml:space="preserve">ority is expressly granted to the </w:t>
            </w:r>
            <w:r w:rsidRPr="00FF6BF7">
              <w:t>Texas Workforce Commission</w:t>
            </w:r>
            <w:r>
              <w:t xml:space="preserve"> in SECTION 1 of this bill.</w:t>
            </w:r>
          </w:p>
          <w:p w14:paraId="6DE1AE9E" w14:textId="77777777" w:rsidR="008423E4" w:rsidRPr="00E21FDC" w:rsidRDefault="008423E4" w:rsidP="00CB2BFB">
            <w:pPr>
              <w:rPr>
                <w:b/>
              </w:rPr>
            </w:pPr>
          </w:p>
        </w:tc>
      </w:tr>
      <w:tr w:rsidR="00EE197A" w14:paraId="02127C7E" w14:textId="77777777" w:rsidTr="00345119">
        <w:tc>
          <w:tcPr>
            <w:tcW w:w="9576" w:type="dxa"/>
          </w:tcPr>
          <w:p w14:paraId="1F64B5C4" w14:textId="77777777" w:rsidR="008423E4" w:rsidRPr="00A8133F" w:rsidRDefault="00400DB4" w:rsidP="00CB2BFB">
            <w:pPr>
              <w:rPr>
                <w:b/>
              </w:rPr>
            </w:pPr>
            <w:r w:rsidRPr="009C1E9A">
              <w:rPr>
                <w:b/>
                <w:u w:val="single"/>
              </w:rPr>
              <w:t>ANALYSIS</w:t>
            </w:r>
            <w:r>
              <w:rPr>
                <w:b/>
              </w:rPr>
              <w:t xml:space="preserve"> </w:t>
            </w:r>
          </w:p>
          <w:p w14:paraId="759DDEFD" w14:textId="77777777" w:rsidR="008423E4" w:rsidRDefault="008423E4" w:rsidP="00CB2BFB"/>
          <w:p w14:paraId="19F7EC28" w14:textId="5C3DDCD1" w:rsidR="00B305BC" w:rsidRDefault="00400DB4" w:rsidP="00CB2BFB">
            <w:pPr>
              <w:pStyle w:val="Header"/>
              <w:jc w:val="both"/>
            </w:pPr>
            <w:r>
              <w:t xml:space="preserve">H.B. 2872 amends the </w:t>
            </w:r>
            <w:r w:rsidRPr="00085F96">
              <w:t>Labor Code</w:t>
            </w:r>
            <w:r>
              <w:t xml:space="preserve"> to require the Texas Workforce Commission (TWC) to make available on its website a publicly accessible list of all employers in Texas that have been assessed an administrative penalty for </w:t>
            </w:r>
            <w:r w:rsidRPr="00085F96">
              <w:t>act</w:t>
            </w:r>
            <w:r>
              <w:t>ing</w:t>
            </w:r>
            <w:r w:rsidRPr="00085F96">
              <w:t xml:space="preserve"> in bad faith in not paying wages</w:t>
            </w:r>
            <w:r>
              <w:t xml:space="preserve">, ordered to pay wages by a </w:t>
            </w:r>
            <w:r>
              <w:t>final order of TWC and have failed to comply with</w:t>
            </w:r>
            <w:r w:rsidR="00F502DC">
              <w:t xml:space="preserve"> statutory provisions re</w:t>
            </w:r>
            <w:r w:rsidR="00CC76FD">
              <w:t>quiring</w:t>
            </w:r>
            <w:r w:rsidR="00F502DC">
              <w:t xml:space="preserve"> </w:t>
            </w:r>
            <w:r w:rsidR="00212E97">
              <w:t>payment to TWC of wages or a penalty</w:t>
            </w:r>
            <w:r w:rsidR="00F502DC">
              <w:t>,</w:t>
            </w:r>
            <w:r>
              <w:t xml:space="preserve"> or convicted of a</w:t>
            </w:r>
            <w:r w:rsidR="00F502DC">
              <w:t xml:space="preserve"> failure to pay wages</w:t>
            </w:r>
            <w:r>
              <w:t xml:space="preserve"> offense or</w:t>
            </w:r>
            <w:r w:rsidR="00F502DC">
              <w:t xml:space="preserve"> </w:t>
            </w:r>
            <w:r w:rsidR="00CC76FD">
              <w:t xml:space="preserve">a </w:t>
            </w:r>
            <w:r w:rsidR="00F502DC">
              <w:t>theft of service offense</w:t>
            </w:r>
            <w:r>
              <w:t xml:space="preserve"> involv</w:t>
            </w:r>
            <w:r w:rsidR="00CC76FD">
              <w:t>ing</w:t>
            </w:r>
            <w:r>
              <w:t xml:space="preserve"> the theft of a service that was rendered by an emp</w:t>
            </w:r>
            <w:r>
              <w:t>loyee of the employer.</w:t>
            </w:r>
            <w:r w:rsidR="00F502DC">
              <w:t xml:space="preserve"> The bill requires the database, for an employer that is a business entity, to include the name under which the entity operates and the name of each individual who is an owner of and actively involved in the management of the entity. The bill requires TWC to</w:t>
            </w:r>
            <w:r w:rsidR="00C648C5">
              <w:t xml:space="preserve"> establish the database not later than December 1, 2023, and to</w:t>
            </w:r>
            <w:r w:rsidR="00F502DC">
              <w:t xml:space="preserve"> </w:t>
            </w:r>
            <w:r>
              <w:t>do the following with respect to the database:</w:t>
            </w:r>
          </w:p>
          <w:p w14:paraId="4480985B" w14:textId="5F6BFE46" w:rsidR="00B305BC" w:rsidRDefault="00400DB4" w:rsidP="00CB2BFB">
            <w:pPr>
              <w:pStyle w:val="Header"/>
              <w:numPr>
                <w:ilvl w:val="0"/>
                <w:numId w:val="1"/>
              </w:numPr>
              <w:jc w:val="both"/>
            </w:pPr>
            <w:r>
              <w:t>provide notice to an employer not later than the 180th day before the date the employer is listed in the database;</w:t>
            </w:r>
          </w:p>
          <w:p w14:paraId="4D069E78" w14:textId="768A91C6" w:rsidR="00B305BC" w:rsidRDefault="00400DB4" w:rsidP="00CB2BFB">
            <w:pPr>
              <w:pStyle w:val="Header"/>
              <w:numPr>
                <w:ilvl w:val="0"/>
                <w:numId w:val="1"/>
              </w:numPr>
              <w:jc w:val="both"/>
            </w:pPr>
            <w:r>
              <w:t>establ</w:t>
            </w:r>
            <w:r>
              <w:t xml:space="preserve">ish by rule a process by which an employer may, at any time after receiving notice, dispute the employer's initial inclusion or continued inclusion in the database, as applicable, that requires TWC to investigate and make a final determination regarding </w:t>
            </w:r>
            <w:r w:rsidR="00004BF5">
              <w:t xml:space="preserve">such </w:t>
            </w:r>
            <w:r>
              <w:t>an employer dispute not later than the 21st day after the date the dispute is filed</w:t>
            </w:r>
            <w:r w:rsidR="00004BF5">
              <w:t>;</w:t>
            </w:r>
          </w:p>
          <w:p w14:paraId="7330A617" w14:textId="77777777" w:rsidR="00004BF5" w:rsidRDefault="00400DB4" w:rsidP="00CB2BFB">
            <w:pPr>
              <w:pStyle w:val="Header"/>
              <w:numPr>
                <w:ilvl w:val="0"/>
                <w:numId w:val="1"/>
              </w:numPr>
              <w:jc w:val="both"/>
            </w:pPr>
            <w:r>
              <w:t>consider, in a dispute regarding an employer's continued inclusion in the database, any material changes to the employer's management or ownership following the inciden</w:t>
            </w:r>
            <w:r>
              <w:t>t for which the employer was initially included in the database; and</w:t>
            </w:r>
          </w:p>
          <w:p w14:paraId="12CE0756" w14:textId="3DA6528B" w:rsidR="007A3B3D" w:rsidRDefault="00400DB4" w:rsidP="00CB2BFB">
            <w:pPr>
              <w:pStyle w:val="Header"/>
              <w:numPr>
                <w:ilvl w:val="0"/>
                <w:numId w:val="1"/>
              </w:numPr>
              <w:jc w:val="both"/>
            </w:pPr>
            <w:r w:rsidRPr="001A0698">
              <w:t>list an employer in the database until the third anniversary of the date the penalty is assessed or the employer is convicted, unless the employer is removed from the database as a result</w:t>
            </w:r>
            <w:r w:rsidRPr="001A0698">
              <w:t xml:space="preserve"> of </w:t>
            </w:r>
            <w:r>
              <w:t>a</w:t>
            </w:r>
            <w:r w:rsidRPr="001A0698">
              <w:t xml:space="preserve"> determination</w:t>
            </w:r>
            <w:r>
              <w:t xml:space="preserve"> by TWC</w:t>
            </w:r>
            <w:r w:rsidRPr="001A0698">
              <w:t xml:space="preserve"> following a dispute</w:t>
            </w:r>
            <w:r w:rsidR="00C648C5">
              <w:t>.</w:t>
            </w:r>
            <w:r>
              <w:t xml:space="preserve"> </w:t>
            </w:r>
          </w:p>
          <w:p w14:paraId="5489B0E1" w14:textId="77777777" w:rsidR="00C648C5" w:rsidRDefault="00C648C5" w:rsidP="00CB2BFB">
            <w:pPr>
              <w:pStyle w:val="Header"/>
              <w:jc w:val="both"/>
            </w:pPr>
          </w:p>
          <w:p w14:paraId="5B8E36BD" w14:textId="3F4B8EFD" w:rsidR="001A0698" w:rsidRDefault="00400DB4" w:rsidP="00CB2BFB">
            <w:pPr>
              <w:pStyle w:val="Header"/>
              <w:jc w:val="both"/>
            </w:pPr>
            <w:r>
              <w:t>H.B. 2872 requires a</w:t>
            </w:r>
            <w:r w:rsidRPr="001A0698">
              <w:t>n attorney representing the state</w:t>
            </w:r>
            <w:r w:rsidR="007A3B3D">
              <w:t xml:space="preserve"> who is</w:t>
            </w:r>
            <w:r w:rsidRPr="001A0698">
              <w:t xml:space="preserve"> </w:t>
            </w:r>
            <w:r w:rsidR="007A3B3D" w:rsidRPr="007A3B3D">
              <w:t>a district attorney, criminal district attorney, or county attorney performing the duties of a district attorney</w:t>
            </w:r>
            <w:r w:rsidR="007A3B3D">
              <w:t xml:space="preserve"> </w:t>
            </w:r>
            <w:r>
              <w:t>to</w:t>
            </w:r>
            <w:r w:rsidRPr="001A0698">
              <w:t xml:space="preserve"> report to </w:t>
            </w:r>
            <w:r>
              <w:t>TWC</w:t>
            </w:r>
            <w:r w:rsidRPr="001A0698">
              <w:t xml:space="preserve"> the name of each employer that is prosecuted and convicted in the attorney's jurisdiction of</w:t>
            </w:r>
            <w:r w:rsidR="00276457">
              <w:t xml:space="preserve"> </w:t>
            </w:r>
            <w:r w:rsidR="00276457" w:rsidRPr="00276457">
              <w:t>a failure to pay wages offense or theft of service offense</w:t>
            </w:r>
            <w:r w:rsidR="00D94DD7">
              <w:t xml:space="preserve"> and establishes that</w:t>
            </w:r>
            <w:r w:rsidR="00276457" w:rsidRPr="00276457">
              <w:t xml:space="preserve"> a person has been convicted of an offense if the person was adjudged guilty of the offense or entered a plea of guilty or nolo contendere in return for a grant of deferred adjudication community supervision, regardless of whether the sentence for the offense was ever imposed or whether the sentence was probated and the person was subsequently discharged from community supervision.</w:t>
            </w:r>
          </w:p>
          <w:p w14:paraId="626B5295" w14:textId="4A4C0B73" w:rsidR="00276457" w:rsidRDefault="00276457" w:rsidP="00CB2BFB">
            <w:pPr>
              <w:pStyle w:val="Header"/>
              <w:jc w:val="both"/>
            </w:pPr>
          </w:p>
          <w:p w14:paraId="62601524" w14:textId="37F9616A" w:rsidR="00276457" w:rsidRDefault="00400DB4" w:rsidP="00CB2BFB">
            <w:pPr>
              <w:pStyle w:val="Header"/>
              <w:jc w:val="both"/>
            </w:pPr>
            <w:r>
              <w:t xml:space="preserve">H.B. 2872 </w:t>
            </w:r>
            <w:r w:rsidR="00D94DD7">
              <w:t xml:space="preserve">expressly </w:t>
            </w:r>
            <w:r>
              <w:t xml:space="preserve">does not impose any additional requirement on a contractor performing work under a contract that is subject to </w:t>
            </w:r>
            <w:r w:rsidR="00D94DD7">
              <w:t xml:space="preserve">Government Code </w:t>
            </w:r>
            <w:r>
              <w:t xml:space="preserve">provisions relating to </w:t>
            </w:r>
            <w:r w:rsidR="00DC7D5D" w:rsidRPr="00DC7D5D">
              <w:t>prevailing wage rates</w:t>
            </w:r>
            <w:r w:rsidR="00DC7D5D">
              <w:t xml:space="preserve"> </w:t>
            </w:r>
            <w:r>
              <w:t>or the federal Da</w:t>
            </w:r>
            <w:r>
              <w:t>vis-Bacon Act or another federal law that makes the Davis-Bacon Act applicable to the contract.</w:t>
            </w:r>
          </w:p>
          <w:p w14:paraId="6A76971F" w14:textId="62906EA1" w:rsidR="00540442" w:rsidRDefault="00540442" w:rsidP="00CB2BFB">
            <w:pPr>
              <w:pStyle w:val="Header"/>
              <w:jc w:val="both"/>
            </w:pPr>
          </w:p>
          <w:p w14:paraId="59F105AE" w14:textId="6191F4BB" w:rsidR="00540442" w:rsidRPr="009C36CD" w:rsidRDefault="00400DB4" w:rsidP="00CB2BFB">
            <w:pPr>
              <w:pStyle w:val="Header"/>
              <w:jc w:val="both"/>
            </w:pPr>
            <w:r>
              <w:t>H.B. 2872 appl</w:t>
            </w:r>
            <w:r w:rsidR="00306005">
              <w:t>ies only</w:t>
            </w:r>
            <w:r>
              <w:t xml:space="preserve"> to an employer </w:t>
            </w:r>
            <w:r w:rsidRPr="00540442">
              <w:t>for whom an administrative penalty is assessed</w:t>
            </w:r>
            <w:r w:rsidR="00FF6BF7">
              <w:t xml:space="preserve"> </w:t>
            </w:r>
            <w:r w:rsidR="00FF6BF7" w:rsidRPr="00FF6BF7">
              <w:t xml:space="preserve">on or after the </w:t>
            </w:r>
            <w:r w:rsidR="0097571A" w:rsidRPr="00FF6BF7">
              <w:t>bill</w:t>
            </w:r>
            <w:r w:rsidR="0097571A">
              <w:t>'</w:t>
            </w:r>
            <w:r w:rsidR="0097571A" w:rsidRPr="00FF6BF7">
              <w:t xml:space="preserve">s </w:t>
            </w:r>
            <w:r w:rsidR="00FF6BF7" w:rsidRPr="00FF6BF7">
              <w:t>effective date</w:t>
            </w:r>
            <w:r>
              <w:t xml:space="preserve">, </w:t>
            </w:r>
            <w:r w:rsidRPr="00540442">
              <w:t xml:space="preserve">who is subject to a final order of </w:t>
            </w:r>
            <w:r w:rsidRPr="00540442">
              <w:t>TWC entered</w:t>
            </w:r>
            <w:r w:rsidR="00FF6BF7">
              <w:t xml:space="preserve"> </w:t>
            </w:r>
            <w:r w:rsidR="00FF6BF7" w:rsidRPr="00FF6BF7">
              <w:t xml:space="preserve">on or after </w:t>
            </w:r>
            <w:r w:rsidR="00306005">
              <w:t>that</w:t>
            </w:r>
            <w:r w:rsidR="00FF6BF7" w:rsidRPr="00FF6BF7">
              <w:t xml:space="preserve"> date</w:t>
            </w:r>
            <w:r>
              <w:t xml:space="preserve">, or </w:t>
            </w:r>
            <w:r w:rsidR="00FF6BF7" w:rsidRPr="00FF6BF7">
              <w:t xml:space="preserve">for whom a judgment of conviction is entered, or who is placed on deferred adjudication community supervision, on or after the </w:t>
            </w:r>
            <w:r w:rsidR="00025F05">
              <w:t xml:space="preserve">bill's </w:t>
            </w:r>
            <w:r w:rsidR="00FF6BF7" w:rsidRPr="00FF6BF7">
              <w:t>effective date</w:t>
            </w:r>
            <w:r w:rsidR="00FF6BF7">
              <w:t xml:space="preserve">, regardless of whether </w:t>
            </w:r>
            <w:r w:rsidR="00FF6BF7" w:rsidRPr="00FF6BF7">
              <w:t>the conduct giving rise to the penalty</w:t>
            </w:r>
            <w:r w:rsidR="00FF6BF7">
              <w:t xml:space="preserve"> or order, or t</w:t>
            </w:r>
            <w:r w:rsidR="00FF6BF7" w:rsidRPr="00FF6BF7">
              <w:t>he offense for which the employer was convicted, or for which the employer was placed on deferred adjudication community supervision, was committed before, on, or after that date</w:t>
            </w:r>
            <w:r w:rsidR="00FF6BF7">
              <w:t>, as applicable</w:t>
            </w:r>
            <w:r w:rsidR="00FF6BF7" w:rsidRPr="00FF6BF7">
              <w:t>.</w:t>
            </w:r>
          </w:p>
          <w:p w14:paraId="1461AC0F" w14:textId="77777777" w:rsidR="008423E4" w:rsidRPr="00835628" w:rsidRDefault="008423E4" w:rsidP="00CB2BFB">
            <w:pPr>
              <w:rPr>
                <w:b/>
              </w:rPr>
            </w:pPr>
          </w:p>
        </w:tc>
      </w:tr>
      <w:tr w:rsidR="00EE197A" w14:paraId="52B6FCEA" w14:textId="77777777" w:rsidTr="00345119">
        <w:tc>
          <w:tcPr>
            <w:tcW w:w="9576" w:type="dxa"/>
          </w:tcPr>
          <w:p w14:paraId="1A3E945D" w14:textId="77777777" w:rsidR="008423E4" w:rsidRPr="00A8133F" w:rsidRDefault="00400DB4" w:rsidP="00CB2BFB">
            <w:pPr>
              <w:rPr>
                <w:b/>
              </w:rPr>
            </w:pPr>
            <w:r w:rsidRPr="009C1E9A">
              <w:rPr>
                <w:b/>
                <w:u w:val="single"/>
              </w:rPr>
              <w:t>EFFECTIVE DATE</w:t>
            </w:r>
            <w:r>
              <w:rPr>
                <w:b/>
              </w:rPr>
              <w:t xml:space="preserve"> </w:t>
            </w:r>
          </w:p>
          <w:p w14:paraId="6DCE7C2A" w14:textId="77777777" w:rsidR="008423E4" w:rsidRDefault="008423E4" w:rsidP="00CB2BFB"/>
          <w:p w14:paraId="257E59EF" w14:textId="643CF10B" w:rsidR="008423E4" w:rsidRPr="003624F2" w:rsidRDefault="00400DB4" w:rsidP="00CB2BFB">
            <w:pPr>
              <w:pStyle w:val="Header"/>
              <w:tabs>
                <w:tab w:val="clear" w:pos="4320"/>
                <w:tab w:val="clear" w:pos="8640"/>
              </w:tabs>
              <w:jc w:val="both"/>
            </w:pPr>
            <w:r>
              <w:t>September 1, 2023.</w:t>
            </w:r>
          </w:p>
          <w:p w14:paraId="7B4CF745" w14:textId="77777777" w:rsidR="008423E4" w:rsidRPr="00233FDB" w:rsidRDefault="008423E4" w:rsidP="00CB2BFB">
            <w:pPr>
              <w:rPr>
                <w:b/>
              </w:rPr>
            </w:pPr>
          </w:p>
        </w:tc>
      </w:tr>
    </w:tbl>
    <w:p w14:paraId="511177BF" w14:textId="77777777" w:rsidR="008423E4" w:rsidRPr="00BE0E75" w:rsidRDefault="008423E4" w:rsidP="00CB2BFB">
      <w:pPr>
        <w:jc w:val="both"/>
        <w:rPr>
          <w:rFonts w:ascii="Arial" w:hAnsi="Arial"/>
          <w:sz w:val="16"/>
          <w:szCs w:val="16"/>
        </w:rPr>
      </w:pPr>
    </w:p>
    <w:p w14:paraId="262BB2F4" w14:textId="77777777" w:rsidR="004108C3" w:rsidRPr="008423E4" w:rsidRDefault="004108C3" w:rsidP="00CB2BF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031E" w14:textId="77777777" w:rsidR="00000000" w:rsidRDefault="00400DB4">
      <w:r>
        <w:separator/>
      </w:r>
    </w:p>
  </w:endnote>
  <w:endnote w:type="continuationSeparator" w:id="0">
    <w:p w14:paraId="367937F0" w14:textId="77777777" w:rsidR="00000000" w:rsidRDefault="004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AC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197A" w14:paraId="07880E42" w14:textId="77777777" w:rsidTr="009C1E9A">
      <w:trPr>
        <w:cantSplit/>
      </w:trPr>
      <w:tc>
        <w:tcPr>
          <w:tcW w:w="0" w:type="pct"/>
        </w:tcPr>
        <w:p w14:paraId="0FBA71B0" w14:textId="77777777" w:rsidR="00137D90" w:rsidRDefault="00137D90" w:rsidP="009C1E9A">
          <w:pPr>
            <w:pStyle w:val="Footer"/>
            <w:tabs>
              <w:tab w:val="clear" w:pos="8640"/>
              <w:tab w:val="right" w:pos="9360"/>
            </w:tabs>
          </w:pPr>
        </w:p>
      </w:tc>
      <w:tc>
        <w:tcPr>
          <w:tcW w:w="2395" w:type="pct"/>
        </w:tcPr>
        <w:p w14:paraId="7EA8298D" w14:textId="77777777" w:rsidR="00137D90" w:rsidRDefault="00137D90" w:rsidP="009C1E9A">
          <w:pPr>
            <w:pStyle w:val="Footer"/>
            <w:tabs>
              <w:tab w:val="clear" w:pos="8640"/>
              <w:tab w:val="right" w:pos="9360"/>
            </w:tabs>
          </w:pPr>
        </w:p>
        <w:p w14:paraId="144F0468" w14:textId="77777777" w:rsidR="001A4310" w:rsidRDefault="001A4310" w:rsidP="009C1E9A">
          <w:pPr>
            <w:pStyle w:val="Footer"/>
            <w:tabs>
              <w:tab w:val="clear" w:pos="8640"/>
              <w:tab w:val="right" w:pos="9360"/>
            </w:tabs>
          </w:pPr>
        </w:p>
        <w:p w14:paraId="3668B8C3" w14:textId="77777777" w:rsidR="00137D90" w:rsidRDefault="00137D90" w:rsidP="009C1E9A">
          <w:pPr>
            <w:pStyle w:val="Footer"/>
            <w:tabs>
              <w:tab w:val="clear" w:pos="8640"/>
              <w:tab w:val="right" w:pos="9360"/>
            </w:tabs>
          </w:pPr>
        </w:p>
      </w:tc>
      <w:tc>
        <w:tcPr>
          <w:tcW w:w="2453" w:type="pct"/>
        </w:tcPr>
        <w:p w14:paraId="6A84E668" w14:textId="77777777" w:rsidR="00137D90" w:rsidRDefault="00137D90" w:rsidP="009C1E9A">
          <w:pPr>
            <w:pStyle w:val="Footer"/>
            <w:tabs>
              <w:tab w:val="clear" w:pos="8640"/>
              <w:tab w:val="right" w:pos="9360"/>
            </w:tabs>
            <w:jc w:val="right"/>
          </w:pPr>
        </w:p>
      </w:tc>
    </w:tr>
    <w:tr w:rsidR="00EE197A" w14:paraId="28401A6D" w14:textId="77777777" w:rsidTr="009C1E9A">
      <w:trPr>
        <w:cantSplit/>
      </w:trPr>
      <w:tc>
        <w:tcPr>
          <w:tcW w:w="0" w:type="pct"/>
        </w:tcPr>
        <w:p w14:paraId="0997B1BA" w14:textId="77777777" w:rsidR="00EC379B" w:rsidRDefault="00EC379B" w:rsidP="009C1E9A">
          <w:pPr>
            <w:pStyle w:val="Footer"/>
            <w:tabs>
              <w:tab w:val="clear" w:pos="8640"/>
              <w:tab w:val="right" w:pos="9360"/>
            </w:tabs>
          </w:pPr>
        </w:p>
      </w:tc>
      <w:tc>
        <w:tcPr>
          <w:tcW w:w="2395" w:type="pct"/>
        </w:tcPr>
        <w:p w14:paraId="1B89E572" w14:textId="3FC611CA" w:rsidR="00EC379B" w:rsidRPr="009C1E9A" w:rsidRDefault="00400DB4" w:rsidP="009C1E9A">
          <w:pPr>
            <w:pStyle w:val="Footer"/>
            <w:tabs>
              <w:tab w:val="clear" w:pos="8640"/>
              <w:tab w:val="right" w:pos="9360"/>
            </w:tabs>
            <w:rPr>
              <w:rFonts w:ascii="Shruti" w:hAnsi="Shruti"/>
              <w:sz w:val="22"/>
            </w:rPr>
          </w:pPr>
          <w:r>
            <w:rPr>
              <w:rFonts w:ascii="Shruti" w:hAnsi="Shruti"/>
              <w:sz w:val="22"/>
            </w:rPr>
            <w:t>88R 25021-D</w:t>
          </w:r>
        </w:p>
      </w:tc>
      <w:tc>
        <w:tcPr>
          <w:tcW w:w="2453" w:type="pct"/>
        </w:tcPr>
        <w:p w14:paraId="1433F4B9" w14:textId="33E22910" w:rsidR="00EC379B" w:rsidRDefault="00400DB4" w:rsidP="009C1E9A">
          <w:pPr>
            <w:pStyle w:val="Footer"/>
            <w:tabs>
              <w:tab w:val="clear" w:pos="8640"/>
              <w:tab w:val="right" w:pos="9360"/>
            </w:tabs>
            <w:jc w:val="right"/>
          </w:pPr>
          <w:r>
            <w:fldChar w:fldCharType="begin"/>
          </w:r>
          <w:r>
            <w:instrText xml:space="preserve"> DOCPROPERTY  OTID  \* MERGEFORMAT </w:instrText>
          </w:r>
          <w:r>
            <w:fldChar w:fldCharType="separate"/>
          </w:r>
          <w:r w:rsidR="00BC273A">
            <w:t>23.111.2063</w:t>
          </w:r>
          <w:r>
            <w:fldChar w:fldCharType="end"/>
          </w:r>
        </w:p>
      </w:tc>
    </w:tr>
    <w:tr w:rsidR="00EE197A" w14:paraId="36CBE4DB" w14:textId="77777777" w:rsidTr="009C1E9A">
      <w:trPr>
        <w:cantSplit/>
      </w:trPr>
      <w:tc>
        <w:tcPr>
          <w:tcW w:w="0" w:type="pct"/>
        </w:tcPr>
        <w:p w14:paraId="3E428A6F" w14:textId="77777777" w:rsidR="00EC379B" w:rsidRDefault="00EC379B" w:rsidP="009C1E9A">
          <w:pPr>
            <w:pStyle w:val="Footer"/>
            <w:tabs>
              <w:tab w:val="clear" w:pos="4320"/>
              <w:tab w:val="clear" w:pos="8640"/>
              <w:tab w:val="left" w:pos="2865"/>
            </w:tabs>
          </w:pPr>
        </w:p>
      </w:tc>
      <w:tc>
        <w:tcPr>
          <w:tcW w:w="2395" w:type="pct"/>
        </w:tcPr>
        <w:p w14:paraId="19C59F1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D740161" w14:textId="77777777" w:rsidR="00EC379B" w:rsidRDefault="00EC379B" w:rsidP="006D504F">
          <w:pPr>
            <w:pStyle w:val="Footer"/>
            <w:rPr>
              <w:rStyle w:val="PageNumber"/>
            </w:rPr>
          </w:pPr>
        </w:p>
        <w:p w14:paraId="7665B489" w14:textId="77777777" w:rsidR="00EC379B" w:rsidRDefault="00EC379B" w:rsidP="009C1E9A">
          <w:pPr>
            <w:pStyle w:val="Footer"/>
            <w:tabs>
              <w:tab w:val="clear" w:pos="8640"/>
              <w:tab w:val="right" w:pos="9360"/>
            </w:tabs>
            <w:jc w:val="right"/>
          </w:pPr>
        </w:p>
      </w:tc>
    </w:tr>
    <w:tr w:rsidR="00EE197A" w14:paraId="296C9C34" w14:textId="77777777" w:rsidTr="009C1E9A">
      <w:trPr>
        <w:cantSplit/>
        <w:trHeight w:val="323"/>
      </w:trPr>
      <w:tc>
        <w:tcPr>
          <w:tcW w:w="0" w:type="pct"/>
          <w:gridSpan w:val="3"/>
        </w:tcPr>
        <w:p w14:paraId="47176D6A" w14:textId="77777777" w:rsidR="00EC379B" w:rsidRDefault="00400DB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CD5CC3" w14:textId="77777777" w:rsidR="00EC379B" w:rsidRDefault="00EC379B" w:rsidP="009C1E9A">
          <w:pPr>
            <w:pStyle w:val="Footer"/>
            <w:tabs>
              <w:tab w:val="clear" w:pos="8640"/>
              <w:tab w:val="right" w:pos="9360"/>
            </w:tabs>
            <w:jc w:val="center"/>
          </w:pPr>
        </w:p>
      </w:tc>
    </w:tr>
  </w:tbl>
  <w:p w14:paraId="46B137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FD3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FEC1" w14:textId="77777777" w:rsidR="00000000" w:rsidRDefault="00400DB4">
      <w:r>
        <w:separator/>
      </w:r>
    </w:p>
  </w:footnote>
  <w:footnote w:type="continuationSeparator" w:id="0">
    <w:p w14:paraId="5B74AB4C" w14:textId="77777777" w:rsidR="00000000" w:rsidRDefault="0040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89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B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14E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080B"/>
    <w:multiLevelType w:val="hybridMultilevel"/>
    <w:tmpl w:val="5AA499DA"/>
    <w:lvl w:ilvl="0" w:tplc="F112D942">
      <w:start w:val="1"/>
      <w:numFmt w:val="bullet"/>
      <w:lvlText w:val=""/>
      <w:lvlJc w:val="left"/>
      <w:pPr>
        <w:tabs>
          <w:tab w:val="num" w:pos="720"/>
        </w:tabs>
        <w:ind w:left="720" w:hanging="360"/>
      </w:pPr>
      <w:rPr>
        <w:rFonts w:ascii="Symbol" w:hAnsi="Symbol" w:hint="default"/>
      </w:rPr>
    </w:lvl>
    <w:lvl w:ilvl="1" w:tplc="561E3FFE" w:tentative="1">
      <w:start w:val="1"/>
      <w:numFmt w:val="bullet"/>
      <w:lvlText w:val="o"/>
      <w:lvlJc w:val="left"/>
      <w:pPr>
        <w:ind w:left="1440" w:hanging="360"/>
      </w:pPr>
      <w:rPr>
        <w:rFonts w:ascii="Courier New" w:hAnsi="Courier New" w:cs="Courier New" w:hint="default"/>
      </w:rPr>
    </w:lvl>
    <w:lvl w:ilvl="2" w:tplc="614AE3D2" w:tentative="1">
      <w:start w:val="1"/>
      <w:numFmt w:val="bullet"/>
      <w:lvlText w:val=""/>
      <w:lvlJc w:val="left"/>
      <w:pPr>
        <w:ind w:left="2160" w:hanging="360"/>
      </w:pPr>
      <w:rPr>
        <w:rFonts w:ascii="Wingdings" w:hAnsi="Wingdings" w:hint="default"/>
      </w:rPr>
    </w:lvl>
    <w:lvl w:ilvl="3" w:tplc="AD0C5584" w:tentative="1">
      <w:start w:val="1"/>
      <w:numFmt w:val="bullet"/>
      <w:lvlText w:val=""/>
      <w:lvlJc w:val="left"/>
      <w:pPr>
        <w:ind w:left="2880" w:hanging="360"/>
      </w:pPr>
      <w:rPr>
        <w:rFonts w:ascii="Symbol" w:hAnsi="Symbol" w:hint="default"/>
      </w:rPr>
    </w:lvl>
    <w:lvl w:ilvl="4" w:tplc="09FA1254" w:tentative="1">
      <w:start w:val="1"/>
      <w:numFmt w:val="bullet"/>
      <w:lvlText w:val="o"/>
      <w:lvlJc w:val="left"/>
      <w:pPr>
        <w:ind w:left="3600" w:hanging="360"/>
      </w:pPr>
      <w:rPr>
        <w:rFonts w:ascii="Courier New" w:hAnsi="Courier New" w:cs="Courier New" w:hint="default"/>
      </w:rPr>
    </w:lvl>
    <w:lvl w:ilvl="5" w:tplc="9AEE3DC6" w:tentative="1">
      <w:start w:val="1"/>
      <w:numFmt w:val="bullet"/>
      <w:lvlText w:val=""/>
      <w:lvlJc w:val="left"/>
      <w:pPr>
        <w:ind w:left="4320" w:hanging="360"/>
      </w:pPr>
      <w:rPr>
        <w:rFonts w:ascii="Wingdings" w:hAnsi="Wingdings" w:hint="default"/>
      </w:rPr>
    </w:lvl>
    <w:lvl w:ilvl="6" w:tplc="2F52B662" w:tentative="1">
      <w:start w:val="1"/>
      <w:numFmt w:val="bullet"/>
      <w:lvlText w:val=""/>
      <w:lvlJc w:val="left"/>
      <w:pPr>
        <w:ind w:left="5040" w:hanging="360"/>
      </w:pPr>
      <w:rPr>
        <w:rFonts w:ascii="Symbol" w:hAnsi="Symbol" w:hint="default"/>
      </w:rPr>
    </w:lvl>
    <w:lvl w:ilvl="7" w:tplc="85708924" w:tentative="1">
      <w:start w:val="1"/>
      <w:numFmt w:val="bullet"/>
      <w:lvlText w:val="o"/>
      <w:lvlJc w:val="left"/>
      <w:pPr>
        <w:ind w:left="5760" w:hanging="360"/>
      </w:pPr>
      <w:rPr>
        <w:rFonts w:ascii="Courier New" w:hAnsi="Courier New" w:cs="Courier New" w:hint="default"/>
      </w:rPr>
    </w:lvl>
    <w:lvl w:ilvl="8" w:tplc="C5664DD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96"/>
    <w:rsid w:val="00000A70"/>
    <w:rsid w:val="000032B8"/>
    <w:rsid w:val="00003B06"/>
    <w:rsid w:val="00004BF5"/>
    <w:rsid w:val="000054B9"/>
    <w:rsid w:val="00007461"/>
    <w:rsid w:val="0001117E"/>
    <w:rsid w:val="0001125F"/>
    <w:rsid w:val="0001252C"/>
    <w:rsid w:val="0001338E"/>
    <w:rsid w:val="00013D24"/>
    <w:rsid w:val="00014AF0"/>
    <w:rsid w:val="000155D6"/>
    <w:rsid w:val="00015D4E"/>
    <w:rsid w:val="00020C1E"/>
    <w:rsid w:val="00020E9B"/>
    <w:rsid w:val="000236C1"/>
    <w:rsid w:val="000236EC"/>
    <w:rsid w:val="0002413D"/>
    <w:rsid w:val="000249F2"/>
    <w:rsid w:val="00025F05"/>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F6F"/>
    <w:rsid w:val="00085F96"/>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698"/>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E97"/>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457"/>
    <w:rsid w:val="00277434"/>
    <w:rsid w:val="00280123"/>
    <w:rsid w:val="00281343"/>
    <w:rsid w:val="00281883"/>
    <w:rsid w:val="002874E3"/>
    <w:rsid w:val="00287656"/>
    <w:rsid w:val="00287FA0"/>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00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BCB"/>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0DB4"/>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17F"/>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7D9"/>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636"/>
    <w:rsid w:val="004E2492"/>
    <w:rsid w:val="004E3096"/>
    <w:rsid w:val="004E47F2"/>
    <w:rsid w:val="004E4E2B"/>
    <w:rsid w:val="004E5D4F"/>
    <w:rsid w:val="004E5DEA"/>
    <w:rsid w:val="004E6639"/>
    <w:rsid w:val="004E6BAE"/>
    <w:rsid w:val="004F047E"/>
    <w:rsid w:val="004F32AD"/>
    <w:rsid w:val="004F57CB"/>
    <w:rsid w:val="004F64F6"/>
    <w:rsid w:val="004F69C0"/>
    <w:rsid w:val="00500121"/>
    <w:rsid w:val="005017AC"/>
    <w:rsid w:val="00501E8A"/>
    <w:rsid w:val="00505121"/>
    <w:rsid w:val="00505C04"/>
    <w:rsid w:val="00505F1B"/>
    <w:rsid w:val="005073E8"/>
    <w:rsid w:val="005078DC"/>
    <w:rsid w:val="00510503"/>
    <w:rsid w:val="0051324D"/>
    <w:rsid w:val="00515466"/>
    <w:rsid w:val="005154F7"/>
    <w:rsid w:val="005159DE"/>
    <w:rsid w:val="005269CE"/>
    <w:rsid w:val="005304B2"/>
    <w:rsid w:val="005336BD"/>
    <w:rsid w:val="00534A49"/>
    <w:rsid w:val="005363BB"/>
    <w:rsid w:val="00540442"/>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2E6C"/>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39C"/>
    <w:rsid w:val="00645750"/>
    <w:rsid w:val="00647C8E"/>
    <w:rsid w:val="00650692"/>
    <w:rsid w:val="006508D3"/>
    <w:rsid w:val="00650AFA"/>
    <w:rsid w:val="006621E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3B3D"/>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28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3FE"/>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71A"/>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88F"/>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4CD"/>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5BC"/>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73A"/>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8C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BFB"/>
    <w:rsid w:val="00CB3627"/>
    <w:rsid w:val="00CB4B4B"/>
    <w:rsid w:val="00CB4B73"/>
    <w:rsid w:val="00CB74CB"/>
    <w:rsid w:val="00CB7E04"/>
    <w:rsid w:val="00CC24B7"/>
    <w:rsid w:val="00CC7131"/>
    <w:rsid w:val="00CC76FD"/>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4DD7"/>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D5D"/>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BB3"/>
    <w:rsid w:val="00ED0665"/>
    <w:rsid w:val="00ED12C0"/>
    <w:rsid w:val="00ED19F0"/>
    <w:rsid w:val="00ED2B50"/>
    <w:rsid w:val="00ED3A32"/>
    <w:rsid w:val="00ED3BDE"/>
    <w:rsid w:val="00ED68FB"/>
    <w:rsid w:val="00ED783A"/>
    <w:rsid w:val="00EE197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7D0"/>
    <w:rsid w:val="00F36FE0"/>
    <w:rsid w:val="00F37EA8"/>
    <w:rsid w:val="00F40B14"/>
    <w:rsid w:val="00F41186"/>
    <w:rsid w:val="00F41EEF"/>
    <w:rsid w:val="00F41FAC"/>
    <w:rsid w:val="00F420C6"/>
    <w:rsid w:val="00F423D3"/>
    <w:rsid w:val="00F44349"/>
    <w:rsid w:val="00F4569E"/>
    <w:rsid w:val="00F45AFC"/>
    <w:rsid w:val="00F462F4"/>
    <w:rsid w:val="00F50130"/>
    <w:rsid w:val="00F502DC"/>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002"/>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BF7"/>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D196A6-A247-409D-8236-686EDBE4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40442"/>
    <w:rPr>
      <w:sz w:val="16"/>
      <w:szCs w:val="16"/>
    </w:rPr>
  </w:style>
  <w:style w:type="paragraph" w:styleId="CommentText">
    <w:name w:val="annotation text"/>
    <w:basedOn w:val="Normal"/>
    <w:link w:val="CommentTextChar"/>
    <w:semiHidden/>
    <w:unhideWhenUsed/>
    <w:rsid w:val="00540442"/>
    <w:rPr>
      <w:sz w:val="20"/>
      <w:szCs w:val="20"/>
    </w:rPr>
  </w:style>
  <w:style w:type="character" w:customStyle="1" w:styleId="CommentTextChar">
    <w:name w:val="Comment Text Char"/>
    <w:basedOn w:val="DefaultParagraphFont"/>
    <w:link w:val="CommentText"/>
    <w:semiHidden/>
    <w:rsid w:val="00540442"/>
  </w:style>
  <w:style w:type="paragraph" w:styleId="CommentSubject">
    <w:name w:val="annotation subject"/>
    <w:basedOn w:val="CommentText"/>
    <w:next w:val="CommentText"/>
    <w:link w:val="CommentSubjectChar"/>
    <w:semiHidden/>
    <w:unhideWhenUsed/>
    <w:rsid w:val="00540442"/>
    <w:rPr>
      <w:b/>
      <w:bCs/>
    </w:rPr>
  </w:style>
  <w:style w:type="character" w:customStyle="1" w:styleId="CommentSubjectChar">
    <w:name w:val="Comment Subject Char"/>
    <w:basedOn w:val="CommentTextChar"/>
    <w:link w:val="CommentSubject"/>
    <w:semiHidden/>
    <w:rsid w:val="00540442"/>
    <w:rPr>
      <w:b/>
      <w:bCs/>
    </w:rPr>
  </w:style>
  <w:style w:type="paragraph" w:styleId="Revision">
    <w:name w:val="Revision"/>
    <w:hidden/>
    <w:uiPriority w:val="99"/>
    <w:semiHidden/>
    <w:rsid w:val="00C648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4084</Characters>
  <Application>Microsoft Office Word</Application>
  <DocSecurity>4</DocSecurity>
  <Lines>85</Lines>
  <Paragraphs>22</Paragraphs>
  <ScaleCrop>false</ScaleCrop>
  <HeadingPairs>
    <vt:vector size="2" baseType="variant">
      <vt:variant>
        <vt:lpstr>Title</vt:lpstr>
      </vt:variant>
      <vt:variant>
        <vt:i4>1</vt:i4>
      </vt:variant>
    </vt:vector>
  </HeadingPairs>
  <TitlesOfParts>
    <vt:vector size="1" baseType="lpstr">
      <vt:lpstr>BA - HB02872 (Committee Report (Unamended))</vt:lpstr>
    </vt:vector>
  </TitlesOfParts>
  <Company>State of Texas</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25021</dc:subject>
  <dc:creator>State of Texas</dc:creator>
  <dc:description>HB 2872 by González, Mary-(H)International Relations &amp; Economic Development</dc:description>
  <cp:lastModifiedBy>Matthew Lee</cp:lastModifiedBy>
  <cp:revision>2</cp:revision>
  <cp:lastPrinted>2003-11-26T17:21:00Z</cp:lastPrinted>
  <dcterms:created xsi:type="dcterms:W3CDTF">2023-04-25T17:23:00Z</dcterms:created>
  <dcterms:modified xsi:type="dcterms:W3CDTF">2023-04-25T17:23:00Z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23.111.2063</vt:lpwstr>
  </property>
</Properties>
</file>