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31512" w14:paraId="6B148E49" w14:textId="77777777" w:rsidTr="00C751F4">
        <w:tc>
          <w:tcPr>
            <w:tcW w:w="9576" w:type="dxa"/>
            <w:noWrap/>
          </w:tcPr>
          <w:p w14:paraId="573017F9" w14:textId="77777777" w:rsidR="008423E4" w:rsidRPr="0022177D" w:rsidRDefault="00A05938" w:rsidP="00923F92">
            <w:pPr>
              <w:pStyle w:val="Heading1"/>
            </w:pPr>
            <w:r w:rsidRPr="00631897">
              <w:t>BILL ANALYSIS</w:t>
            </w:r>
          </w:p>
        </w:tc>
      </w:tr>
    </w:tbl>
    <w:p w14:paraId="0EA376C4" w14:textId="77777777" w:rsidR="008423E4" w:rsidRPr="0022177D" w:rsidRDefault="008423E4" w:rsidP="00923F92">
      <w:pPr>
        <w:jc w:val="center"/>
      </w:pPr>
    </w:p>
    <w:p w14:paraId="300FF494" w14:textId="77777777" w:rsidR="008423E4" w:rsidRPr="00B31F0E" w:rsidRDefault="008423E4" w:rsidP="00923F92"/>
    <w:p w14:paraId="6F268E28" w14:textId="77777777" w:rsidR="008423E4" w:rsidRPr="00742794" w:rsidRDefault="008423E4" w:rsidP="00923F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31512" w14:paraId="6D6F299D" w14:textId="77777777" w:rsidTr="00C751F4">
        <w:tc>
          <w:tcPr>
            <w:tcW w:w="9576" w:type="dxa"/>
          </w:tcPr>
          <w:p w14:paraId="35287DCE" w14:textId="78AF2B8A" w:rsidR="008423E4" w:rsidRPr="00861995" w:rsidRDefault="00A05938" w:rsidP="00923F92">
            <w:pPr>
              <w:jc w:val="right"/>
            </w:pPr>
            <w:r>
              <w:t>C.S.H.B. 2928</w:t>
            </w:r>
          </w:p>
        </w:tc>
      </w:tr>
      <w:tr w:rsidR="00331512" w14:paraId="782D8F1D" w14:textId="77777777" w:rsidTr="00C751F4">
        <w:tc>
          <w:tcPr>
            <w:tcW w:w="9576" w:type="dxa"/>
          </w:tcPr>
          <w:p w14:paraId="5C9C6DCF" w14:textId="1ABFF891" w:rsidR="008423E4" w:rsidRPr="00861995" w:rsidRDefault="00A05938" w:rsidP="00923F92">
            <w:pPr>
              <w:jc w:val="right"/>
            </w:pPr>
            <w:r>
              <w:t xml:space="preserve">By: </w:t>
            </w:r>
            <w:r w:rsidR="00F67847">
              <w:t>Turner</w:t>
            </w:r>
          </w:p>
        </w:tc>
      </w:tr>
      <w:tr w:rsidR="00331512" w14:paraId="31549533" w14:textId="77777777" w:rsidTr="00C751F4">
        <w:tc>
          <w:tcPr>
            <w:tcW w:w="9576" w:type="dxa"/>
          </w:tcPr>
          <w:p w14:paraId="06D8417A" w14:textId="6C0DD866" w:rsidR="008423E4" w:rsidRPr="00861995" w:rsidRDefault="00A05938" w:rsidP="00923F92">
            <w:pPr>
              <w:jc w:val="right"/>
            </w:pPr>
            <w:r>
              <w:t>Business &amp; Industry</w:t>
            </w:r>
          </w:p>
        </w:tc>
      </w:tr>
      <w:tr w:rsidR="00331512" w14:paraId="550F464B" w14:textId="77777777" w:rsidTr="00C751F4">
        <w:tc>
          <w:tcPr>
            <w:tcW w:w="9576" w:type="dxa"/>
          </w:tcPr>
          <w:p w14:paraId="14ECA1FE" w14:textId="5C9094EF" w:rsidR="008423E4" w:rsidRDefault="00A05938" w:rsidP="00923F92">
            <w:pPr>
              <w:jc w:val="right"/>
            </w:pPr>
            <w:r>
              <w:t>Committee Report (Substituted)</w:t>
            </w:r>
          </w:p>
        </w:tc>
      </w:tr>
    </w:tbl>
    <w:p w14:paraId="46088DDA" w14:textId="77777777" w:rsidR="008423E4" w:rsidRDefault="008423E4" w:rsidP="00923F92">
      <w:pPr>
        <w:tabs>
          <w:tab w:val="right" w:pos="9360"/>
        </w:tabs>
      </w:pPr>
    </w:p>
    <w:p w14:paraId="5136BF88" w14:textId="77777777" w:rsidR="008423E4" w:rsidRDefault="008423E4" w:rsidP="00923F92"/>
    <w:p w14:paraId="3C5EAE5B" w14:textId="77777777" w:rsidR="008423E4" w:rsidRDefault="008423E4" w:rsidP="00923F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31512" w14:paraId="18DEF7DF" w14:textId="77777777" w:rsidTr="00C751F4">
        <w:tc>
          <w:tcPr>
            <w:tcW w:w="9576" w:type="dxa"/>
          </w:tcPr>
          <w:p w14:paraId="1753ACC2" w14:textId="77777777" w:rsidR="008423E4" w:rsidRPr="00A8133F" w:rsidRDefault="00A05938" w:rsidP="00923F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173DD6" w14:textId="77777777" w:rsidR="008423E4" w:rsidRDefault="008423E4" w:rsidP="00923F92"/>
          <w:p w14:paraId="16ABE66E" w14:textId="218893C0" w:rsidR="008423E4" w:rsidRDefault="00A05938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Certain Texas construction subcontractors</w:t>
            </w:r>
            <w:r w:rsidR="00234C3D" w:rsidRPr="00234C3D">
              <w:t xml:space="preserve"> assert that subcontractors </w:t>
            </w:r>
            <w:r>
              <w:t xml:space="preserve">may </w:t>
            </w:r>
            <w:r w:rsidR="00234C3D" w:rsidRPr="00234C3D">
              <w:t xml:space="preserve">have problems with the receipt of payment for services rendered. </w:t>
            </w:r>
            <w:r w:rsidR="006108D8">
              <w:t>Under current law</w:t>
            </w:r>
            <w:r w:rsidR="001025B3">
              <w:t>,</w:t>
            </w:r>
            <w:r w:rsidR="00234C3D" w:rsidRPr="00234C3D">
              <w:t xml:space="preserve"> contractors and subcontractors on a project </w:t>
            </w:r>
            <w:r w:rsidR="006108D8">
              <w:t xml:space="preserve">are required to </w:t>
            </w:r>
            <w:r w:rsidR="00234C3D" w:rsidRPr="00234C3D">
              <w:t xml:space="preserve">be paid </w:t>
            </w:r>
            <w:r>
              <w:t xml:space="preserve">on that project </w:t>
            </w:r>
            <w:r w:rsidR="00234C3D" w:rsidRPr="00234C3D">
              <w:t xml:space="preserve">in a timely fashion. However, some general contractors have withheld payments to subcontractors </w:t>
            </w:r>
            <w:r>
              <w:t>based on disputes on another project</w:t>
            </w:r>
            <w:r w:rsidR="00234C3D">
              <w:t xml:space="preserve">. </w:t>
            </w:r>
            <w:r w:rsidR="006108D8">
              <w:t>C.S.</w:t>
            </w:r>
            <w:r w:rsidR="00234C3D" w:rsidRPr="00234C3D">
              <w:t>H</w:t>
            </w:r>
            <w:r w:rsidR="006108D8">
              <w:t>.</w:t>
            </w:r>
            <w:r w:rsidR="00234C3D" w:rsidRPr="00234C3D">
              <w:t>B</w:t>
            </w:r>
            <w:r w:rsidR="006108D8">
              <w:t>.</w:t>
            </w:r>
            <w:r w:rsidR="00ED4DCC">
              <w:t> </w:t>
            </w:r>
            <w:r w:rsidR="00234C3D" w:rsidRPr="00234C3D">
              <w:t xml:space="preserve">2928 seeks to ensure that </w:t>
            </w:r>
            <w:r w:rsidR="004773C5">
              <w:t>subcontractors get paid for the work that they do.</w:t>
            </w:r>
            <w:r w:rsidR="00D83793" w:rsidRPr="00D83793">
              <w:t xml:space="preserve">  </w:t>
            </w:r>
          </w:p>
          <w:p w14:paraId="5BB3B977" w14:textId="77777777" w:rsidR="008423E4" w:rsidRPr="00E26B13" w:rsidRDefault="008423E4" w:rsidP="00923F92">
            <w:pPr>
              <w:rPr>
                <w:b/>
              </w:rPr>
            </w:pPr>
          </w:p>
        </w:tc>
      </w:tr>
      <w:tr w:rsidR="00331512" w14:paraId="6354ABDA" w14:textId="77777777" w:rsidTr="00C751F4">
        <w:tc>
          <w:tcPr>
            <w:tcW w:w="9576" w:type="dxa"/>
          </w:tcPr>
          <w:p w14:paraId="3CD7EE05" w14:textId="77777777" w:rsidR="0017725B" w:rsidRDefault="00A05938" w:rsidP="00923F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D2FEA6" w14:textId="77777777" w:rsidR="0017725B" w:rsidRDefault="0017725B" w:rsidP="00923F92">
            <w:pPr>
              <w:rPr>
                <w:b/>
                <w:u w:val="single"/>
              </w:rPr>
            </w:pPr>
          </w:p>
          <w:p w14:paraId="4DEA28C2" w14:textId="2B2A870D" w:rsidR="00E04412" w:rsidRPr="00E04412" w:rsidRDefault="00A05938" w:rsidP="00923F92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4E02FA99" w14:textId="77777777" w:rsidR="0017725B" w:rsidRPr="0017725B" w:rsidRDefault="0017725B" w:rsidP="00923F92">
            <w:pPr>
              <w:rPr>
                <w:b/>
                <w:u w:val="single"/>
              </w:rPr>
            </w:pPr>
          </w:p>
        </w:tc>
      </w:tr>
      <w:tr w:rsidR="00331512" w14:paraId="390598F9" w14:textId="77777777" w:rsidTr="00C751F4">
        <w:tc>
          <w:tcPr>
            <w:tcW w:w="9576" w:type="dxa"/>
          </w:tcPr>
          <w:p w14:paraId="4251B618" w14:textId="77777777" w:rsidR="008423E4" w:rsidRPr="00A8133F" w:rsidRDefault="00A05938" w:rsidP="00923F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C37FC6" w14:textId="77777777" w:rsidR="008423E4" w:rsidRDefault="008423E4" w:rsidP="00923F92"/>
          <w:p w14:paraId="1D29EC7E" w14:textId="6C6269D3" w:rsidR="00E04412" w:rsidRDefault="00A05938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242EF8A5" w14:textId="77777777" w:rsidR="008423E4" w:rsidRPr="00E21FDC" w:rsidRDefault="008423E4" w:rsidP="00923F92">
            <w:pPr>
              <w:rPr>
                <w:b/>
              </w:rPr>
            </w:pPr>
          </w:p>
        </w:tc>
      </w:tr>
      <w:tr w:rsidR="00331512" w14:paraId="5F6F43A5" w14:textId="77777777" w:rsidTr="00C751F4">
        <w:tc>
          <w:tcPr>
            <w:tcW w:w="9576" w:type="dxa"/>
          </w:tcPr>
          <w:p w14:paraId="26CA69CA" w14:textId="77777777" w:rsidR="008423E4" w:rsidRPr="00A8133F" w:rsidRDefault="00A05938" w:rsidP="00923F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494259" w14:textId="77777777" w:rsidR="008423E4" w:rsidRDefault="008423E4" w:rsidP="00923F92"/>
          <w:p w14:paraId="301D388E" w14:textId="58630422" w:rsidR="00647AFA" w:rsidRDefault="00A05938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36815">
              <w:t xml:space="preserve">H.B. 2928 amends the Property Code to </w:t>
            </w:r>
            <w:r w:rsidR="001B36C4">
              <w:t xml:space="preserve">establish that </w:t>
            </w:r>
            <w:r w:rsidR="00236815">
              <w:t xml:space="preserve">a good faith dispute </w:t>
            </w:r>
            <w:r w:rsidR="001B36C4">
              <w:t>concerning the amount owed for a</w:t>
            </w:r>
            <w:r w:rsidR="00236815">
              <w:t xml:space="preserve"> payment</w:t>
            </w:r>
            <w:r w:rsidR="002E7E30">
              <w:t xml:space="preserve"> to contractors and subcontractors</w:t>
            </w:r>
            <w:r w:rsidR="00EB7D7E">
              <w:t xml:space="preserve"> requested or required</w:t>
            </w:r>
            <w:r w:rsidR="001B36C4" w:rsidRPr="001B36C4">
              <w:t xml:space="preserve"> under a contract for construction of or improvements</w:t>
            </w:r>
            <w:r w:rsidR="00236815">
              <w:t xml:space="preserve"> </w:t>
            </w:r>
            <w:r w:rsidR="00DA6B68">
              <w:t xml:space="preserve">to certain </w:t>
            </w:r>
            <w:r w:rsidR="008636D5">
              <w:t>residential buildings</w:t>
            </w:r>
            <w:r w:rsidR="00236815" w:rsidRPr="00C55604">
              <w:t xml:space="preserve"> does not include a dispute relating to a contract, work order, contractual arrangement, or any other agreement between the parties that is not related to the contract for construction under which payment is requested or required</w:t>
            </w:r>
            <w:r w:rsidR="00DA6B68">
              <w:t>.</w:t>
            </w:r>
            <w:r w:rsidR="00EB7D7E">
              <w:t xml:space="preserve"> </w:t>
            </w:r>
            <w:r w:rsidR="006E2230">
              <w:t>The bill establishes that a trustee of construction payment</w:t>
            </w:r>
            <w:r w:rsidR="00E25D5E">
              <w:t>s</w:t>
            </w:r>
            <w:r w:rsidR="006E2230">
              <w:t xml:space="preserve"> has misapplied trust funds if the trustee </w:t>
            </w:r>
            <w:r w:rsidR="006E2230" w:rsidRPr="006E2230">
              <w:t>retains or otherwise diverts trust funds due to a dispute, including an alleged default, arising under a construction contract other than the contract in connection with which the trust funds were received by or placed under the control or direction of the trustee.</w:t>
            </w:r>
            <w:r w:rsidR="0066207B">
              <w:t xml:space="preserve"> </w:t>
            </w:r>
          </w:p>
          <w:p w14:paraId="4A36AA30" w14:textId="77777777" w:rsidR="0066207B" w:rsidRDefault="0066207B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8BBAFA7" w14:textId="77777777" w:rsidR="008423E4" w:rsidRDefault="00A05938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6207B">
              <w:t>H.B. 2928</w:t>
            </w:r>
            <w:r w:rsidR="00B2704E">
              <w:t xml:space="preserve"> applies only to </w:t>
            </w:r>
            <w:r w:rsidR="00522C90">
              <w:t>a</w:t>
            </w:r>
            <w:r>
              <w:t xml:space="preserve"> </w:t>
            </w:r>
            <w:r w:rsidR="0066207B">
              <w:t>contract that is entered into</w:t>
            </w:r>
            <w:r w:rsidR="00B2704E">
              <w:t xml:space="preserve"> on or after the bill</w:t>
            </w:r>
            <w:r w:rsidR="00ED4DCC">
              <w:t>'</w:t>
            </w:r>
            <w:r w:rsidR="00B2704E">
              <w:t xml:space="preserve">s effective date. </w:t>
            </w:r>
          </w:p>
          <w:p w14:paraId="135FDB5D" w14:textId="3D91AD8C" w:rsidR="00923F92" w:rsidRPr="00835628" w:rsidRDefault="00923F92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31512" w14:paraId="296D5354" w14:textId="77777777" w:rsidTr="00C751F4">
        <w:tc>
          <w:tcPr>
            <w:tcW w:w="9576" w:type="dxa"/>
          </w:tcPr>
          <w:p w14:paraId="4A82E802" w14:textId="77777777" w:rsidR="008423E4" w:rsidRPr="00A8133F" w:rsidRDefault="00A05938" w:rsidP="00923F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0B711E" w14:textId="77777777" w:rsidR="008423E4" w:rsidRDefault="008423E4" w:rsidP="00923F92"/>
          <w:p w14:paraId="20FF3DF4" w14:textId="52600CCB" w:rsidR="008423E4" w:rsidRPr="003624F2" w:rsidRDefault="00A05938" w:rsidP="00923F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AF87A00" w14:textId="77777777" w:rsidR="008423E4" w:rsidRPr="00233FDB" w:rsidRDefault="008423E4" w:rsidP="00923F92">
            <w:pPr>
              <w:rPr>
                <w:b/>
              </w:rPr>
            </w:pPr>
          </w:p>
        </w:tc>
      </w:tr>
      <w:tr w:rsidR="00331512" w14:paraId="3C3D0EC2" w14:textId="77777777" w:rsidTr="00C751F4">
        <w:tc>
          <w:tcPr>
            <w:tcW w:w="9576" w:type="dxa"/>
          </w:tcPr>
          <w:p w14:paraId="56830F9B" w14:textId="77777777" w:rsidR="00E25D5E" w:rsidRDefault="00A05938" w:rsidP="00E25D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CFA9801" w14:textId="77777777" w:rsidR="00E25D5E" w:rsidRDefault="00E25D5E" w:rsidP="00E25D5E">
            <w:pPr>
              <w:jc w:val="both"/>
            </w:pPr>
          </w:p>
          <w:p w14:paraId="34A65161" w14:textId="77777777" w:rsidR="00E25D5E" w:rsidRDefault="00A05938" w:rsidP="00E25D5E">
            <w:pPr>
              <w:jc w:val="both"/>
            </w:pPr>
            <w:r>
              <w:t xml:space="preserve">While C.S.H.B. 2928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6B8CC92E" w14:textId="77777777" w:rsidR="00E25D5E" w:rsidRDefault="00E25D5E" w:rsidP="00E25D5E">
            <w:pPr>
              <w:jc w:val="both"/>
            </w:pPr>
          </w:p>
          <w:p w14:paraId="130EECD7" w14:textId="77777777" w:rsidR="00E25D5E" w:rsidRDefault="00A05938" w:rsidP="00E25D5E">
            <w:pPr>
              <w:jc w:val="both"/>
            </w:pPr>
            <w:r>
              <w:t>The substitute omits the following provisions from the introduced:</w:t>
            </w:r>
          </w:p>
          <w:p w14:paraId="3EA0A2C9" w14:textId="77777777" w:rsidR="00E25D5E" w:rsidRDefault="00A05938" w:rsidP="00E25D5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provision that made a construction contract provision that allows a</w:t>
            </w:r>
            <w:r>
              <w:t xml:space="preserve"> party to the contract to wholly or partially withhold payment owed under one contract to satisfy a claim or damages alleged by another contract voidable by the party whose payment may be withheld; </w:t>
            </w:r>
          </w:p>
          <w:p w14:paraId="3391D914" w14:textId="77777777" w:rsidR="00E25D5E" w:rsidRDefault="00A05938" w:rsidP="00E25D5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an authorization for a court to award costs and reasonable attorney's fees in an action brought in an action relating to misapplication of trust funds; and</w:t>
            </w:r>
          </w:p>
          <w:p w14:paraId="1CF348D0" w14:textId="7D41A8DB" w:rsidR="00575196" w:rsidRPr="00F67847" w:rsidRDefault="00A05938" w:rsidP="00E25D5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u w:val="single"/>
              </w:rPr>
            </w:pPr>
            <w:r>
              <w:t>a provision making the bill's provisions applicable only to an action commenced on or after the bill</w:t>
            </w:r>
            <w:r>
              <w:t xml:space="preserve">'s effective date. </w:t>
            </w:r>
          </w:p>
        </w:tc>
      </w:tr>
      <w:tr w:rsidR="00331512" w14:paraId="49D073AE" w14:textId="77777777" w:rsidTr="00C751F4">
        <w:tc>
          <w:tcPr>
            <w:tcW w:w="9576" w:type="dxa"/>
          </w:tcPr>
          <w:p w14:paraId="00BC1078" w14:textId="77777777" w:rsidR="000E297C" w:rsidRPr="009C1E9A" w:rsidRDefault="000E297C" w:rsidP="00923F92">
            <w:pPr>
              <w:rPr>
                <w:b/>
                <w:u w:val="single"/>
              </w:rPr>
            </w:pPr>
          </w:p>
        </w:tc>
      </w:tr>
      <w:tr w:rsidR="00331512" w14:paraId="4AC3F458" w14:textId="77777777" w:rsidTr="00C751F4">
        <w:tc>
          <w:tcPr>
            <w:tcW w:w="9576" w:type="dxa"/>
          </w:tcPr>
          <w:p w14:paraId="66F7C816" w14:textId="77777777" w:rsidR="000E297C" w:rsidRPr="00F67847" w:rsidRDefault="000E297C" w:rsidP="00F67847">
            <w:pPr>
              <w:spacing w:line="480" w:lineRule="auto"/>
              <w:jc w:val="both"/>
            </w:pPr>
          </w:p>
        </w:tc>
      </w:tr>
      <w:tr w:rsidR="00331512" w14:paraId="03D9ABD6" w14:textId="77777777" w:rsidTr="00C751F4">
        <w:tc>
          <w:tcPr>
            <w:tcW w:w="9576" w:type="dxa"/>
          </w:tcPr>
          <w:p w14:paraId="0A413D4F" w14:textId="77777777" w:rsidR="00F67847" w:rsidRPr="000E297C" w:rsidRDefault="00F67847" w:rsidP="00923F92">
            <w:pPr>
              <w:jc w:val="both"/>
            </w:pPr>
          </w:p>
        </w:tc>
      </w:tr>
      <w:tr w:rsidR="00331512" w14:paraId="04492F9D" w14:textId="77777777" w:rsidTr="00C751F4">
        <w:tc>
          <w:tcPr>
            <w:tcW w:w="9576" w:type="dxa"/>
          </w:tcPr>
          <w:p w14:paraId="6DA8EAEB" w14:textId="77777777" w:rsidR="00F67847" w:rsidRPr="000E297C" w:rsidRDefault="00F67847" w:rsidP="00923F92">
            <w:pPr>
              <w:jc w:val="both"/>
            </w:pPr>
          </w:p>
        </w:tc>
      </w:tr>
      <w:tr w:rsidR="00331512" w14:paraId="6F2F3109" w14:textId="77777777" w:rsidTr="00C751F4">
        <w:tc>
          <w:tcPr>
            <w:tcW w:w="9576" w:type="dxa"/>
          </w:tcPr>
          <w:p w14:paraId="1EA65C49" w14:textId="77777777" w:rsidR="00F67847" w:rsidRPr="000E297C" w:rsidRDefault="00F67847" w:rsidP="00923F92">
            <w:pPr>
              <w:jc w:val="both"/>
            </w:pPr>
          </w:p>
        </w:tc>
      </w:tr>
    </w:tbl>
    <w:p w14:paraId="622284C5" w14:textId="77777777" w:rsidR="008423E4" w:rsidRPr="00BE0E75" w:rsidRDefault="008423E4" w:rsidP="00923F92">
      <w:pPr>
        <w:jc w:val="both"/>
        <w:rPr>
          <w:rFonts w:ascii="Arial" w:hAnsi="Arial"/>
          <w:sz w:val="16"/>
          <w:szCs w:val="16"/>
        </w:rPr>
      </w:pPr>
    </w:p>
    <w:p w14:paraId="614C6FCD" w14:textId="77777777" w:rsidR="004108C3" w:rsidRPr="008423E4" w:rsidRDefault="004108C3" w:rsidP="00923F9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93FC" w14:textId="77777777" w:rsidR="00000000" w:rsidRDefault="00A05938">
      <w:r>
        <w:separator/>
      </w:r>
    </w:p>
  </w:endnote>
  <w:endnote w:type="continuationSeparator" w:id="0">
    <w:p w14:paraId="03D4ED98" w14:textId="77777777" w:rsidR="00000000" w:rsidRDefault="00A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0823" w14:textId="77777777" w:rsidR="0092780C" w:rsidRDefault="00927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31512" w14:paraId="5AAC7389" w14:textId="77777777" w:rsidTr="009C1E9A">
      <w:trPr>
        <w:cantSplit/>
      </w:trPr>
      <w:tc>
        <w:tcPr>
          <w:tcW w:w="0" w:type="pct"/>
        </w:tcPr>
        <w:p w14:paraId="26F481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2032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4C91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7577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67A1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1512" w14:paraId="76B49DC2" w14:textId="77777777" w:rsidTr="009C1E9A">
      <w:trPr>
        <w:cantSplit/>
      </w:trPr>
      <w:tc>
        <w:tcPr>
          <w:tcW w:w="0" w:type="pct"/>
        </w:tcPr>
        <w:p w14:paraId="24D931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3F6B9A" w14:textId="248E9EA5" w:rsidR="00EC379B" w:rsidRPr="009C1E9A" w:rsidRDefault="00A059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28979-D</w:t>
          </w:r>
        </w:p>
      </w:tc>
      <w:tc>
        <w:tcPr>
          <w:tcW w:w="2453" w:type="pct"/>
        </w:tcPr>
        <w:p w14:paraId="0B0FC2E6" w14:textId="7B1D71DB" w:rsidR="00EC379B" w:rsidRDefault="00A059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11BE">
            <w:t>23.126.651</w:t>
          </w:r>
          <w:r>
            <w:fldChar w:fldCharType="end"/>
          </w:r>
        </w:p>
      </w:tc>
    </w:tr>
    <w:tr w:rsidR="00331512" w14:paraId="33C793C4" w14:textId="77777777" w:rsidTr="009C1E9A">
      <w:trPr>
        <w:cantSplit/>
      </w:trPr>
      <w:tc>
        <w:tcPr>
          <w:tcW w:w="0" w:type="pct"/>
        </w:tcPr>
        <w:p w14:paraId="0A15222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CAE8D5" w14:textId="60910AE0" w:rsidR="00EC379B" w:rsidRPr="009C1E9A" w:rsidRDefault="00A059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23609</w:t>
          </w:r>
        </w:p>
      </w:tc>
      <w:tc>
        <w:tcPr>
          <w:tcW w:w="2453" w:type="pct"/>
        </w:tcPr>
        <w:p w14:paraId="6E5330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8A11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1512" w14:paraId="1BDB4C6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7C8E4A" w14:textId="77777777" w:rsidR="00EC379B" w:rsidRDefault="00A059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6B56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0FB3C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892" w14:textId="77777777" w:rsidR="0092780C" w:rsidRDefault="0092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46B0" w14:textId="77777777" w:rsidR="00000000" w:rsidRDefault="00A05938">
      <w:r>
        <w:separator/>
      </w:r>
    </w:p>
  </w:footnote>
  <w:footnote w:type="continuationSeparator" w:id="0">
    <w:p w14:paraId="44912FFB" w14:textId="77777777" w:rsidR="00000000" w:rsidRDefault="00A0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BB85" w14:textId="77777777" w:rsidR="0092780C" w:rsidRDefault="0092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62F1" w14:textId="77777777" w:rsidR="0092780C" w:rsidRDefault="0092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1425" w14:textId="77777777" w:rsidR="0092780C" w:rsidRDefault="0092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3A36"/>
    <w:multiLevelType w:val="hybridMultilevel"/>
    <w:tmpl w:val="F61405D0"/>
    <w:lvl w:ilvl="0" w:tplc="B9D47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CC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AD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E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C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C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28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5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3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27C8F"/>
    <w:multiLevelType w:val="hybridMultilevel"/>
    <w:tmpl w:val="92427F22"/>
    <w:lvl w:ilvl="0" w:tplc="781ADE2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B16761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B6C4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7E72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4A43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954BD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00DB9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88011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7A0C9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2442518">
    <w:abstractNumId w:val="0"/>
  </w:num>
  <w:num w:numId="2" w16cid:durableId="187199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97C"/>
    <w:rsid w:val="000E5B20"/>
    <w:rsid w:val="000E7C14"/>
    <w:rsid w:val="000F094C"/>
    <w:rsid w:val="000F1392"/>
    <w:rsid w:val="000F165A"/>
    <w:rsid w:val="000F18A2"/>
    <w:rsid w:val="000F2A7F"/>
    <w:rsid w:val="000F3DBD"/>
    <w:rsid w:val="000F5843"/>
    <w:rsid w:val="000F6A06"/>
    <w:rsid w:val="0010154D"/>
    <w:rsid w:val="001025B3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6C4"/>
    <w:rsid w:val="001B3BFA"/>
    <w:rsid w:val="001B5D8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C3D"/>
    <w:rsid w:val="00234F58"/>
    <w:rsid w:val="0023507D"/>
    <w:rsid w:val="0023681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11F"/>
    <w:rsid w:val="002874E3"/>
    <w:rsid w:val="00287656"/>
    <w:rsid w:val="002900BA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E7E30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51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E43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1BE"/>
    <w:rsid w:val="00403B15"/>
    <w:rsid w:val="00403E8A"/>
    <w:rsid w:val="004058B9"/>
    <w:rsid w:val="004101E4"/>
    <w:rsid w:val="00410661"/>
    <w:rsid w:val="004108C3"/>
    <w:rsid w:val="00410B33"/>
    <w:rsid w:val="00411E16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3C5"/>
    <w:rsid w:val="00480080"/>
    <w:rsid w:val="004824A7"/>
    <w:rsid w:val="00483AF0"/>
    <w:rsid w:val="00484167"/>
    <w:rsid w:val="00492211"/>
    <w:rsid w:val="00492325"/>
    <w:rsid w:val="00492A6D"/>
    <w:rsid w:val="0049397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CFA"/>
    <w:rsid w:val="004F32AD"/>
    <w:rsid w:val="004F57CB"/>
    <w:rsid w:val="004F64F6"/>
    <w:rsid w:val="004F69C0"/>
    <w:rsid w:val="004F7A3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C9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19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8D8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AFA"/>
    <w:rsid w:val="00650692"/>
    <w:rsid w:val="006508D3"/>
    <w:rsid w:val="00650AFA"/>
    <w:rsid w:val="0066207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230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4FB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6D5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F92"/>
    <w:rsid w:val="00924EA9"/>
    <w:rsid w:val="00925CE1"/>
    <w:rsid w:val="00925F5C"/>
    <w:rsid w:val="0092780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008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93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D96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404"/>
    <w:rsid w:val="00B233BB"/>
    <w:rsid w:val="00B25612"/>
    <w:rsid w:val="00B26437"/>
    <w:rsid w:val="00B2678E"/>
    <w:rsid w:val="00B2704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A4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DC7"/>
    <w:rsid w:val="00BE71CD"/>
    <w:rsid w:val="00BE7748"/>
    <w:rsid w:val="00BE78FD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60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1F4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3E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793"/>
    <w:rsid w:val="00D83ABC"/>
    <w:rsid w:val="00D84870"/>
    <w:rsid w:val="00D84C6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B68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412"/>
    <w:rsid w:val="00E04B30"/>
    <w:rsid w:val="00E05ECD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D5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D7E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DCC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847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5BF8F-49CE-4D22-97DF-8B077D3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00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368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68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6815"/>
    <w:rPr>
      <w:b/>
      <w:bCs/>
    </w:rPr>
  </w:style>
  <w:style w:type="paragraph" w:styleId="Revision">
    <w:name w:val="Revision"/>
    <w:hidden/>
    <w:uiPriority w:val="99"/>
    <w:semiHidden/>
    <w:rsid w:val="00AB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2472</Characters>
  <Application>Microsoft Office Word</Application>
  <DocSecurity>4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HB02928 (Committee Report (Substituted))</vt:lpstr>
    </vt:vector>
  </TitlesOfParts>
  <Company>State of Texas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28979</dc:subject>
  <dc:creator>State of Texas</dc:creator>
  <dc:description>HB 2928 by Turner-(H)Business &amp; Industry (Substitute Document Number: 88R 23609)</dc:description>
  <cp:lastModifiedBy>Damian Duarte</cp:lastModifiedBy>
  <cp:revision>2</cp:revision>
  <cp:lastPrinted>2003-11-26T17:21:00Z</cp:lastPrinted>
  <dcterms:created xsi:type="dcterms:W3CDTF">2023-05-06T20:55:00Z</dcterms:created>
  <dcterms:modified xsi:type="dcterms:W3CDTF">2023-05-06T20:55:00Z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23.126.651</vt:lpwstr>
  </property>
</Properties>
</file>