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F745D" w14:paraId="6287F35F" w14:textId="77777777" w:rsidTr="00345119">
        <w:tc>
          <w:tcPr>
            <w:tcW w:w="9576" w:type="dxa"/>
            <w:noWrap/>
          </w:tcPr>
          <w:p w14:paraId="768EE22E" w14:textId="77777777" w:rsidR="008423E4" w:rsidRPr="0022177D" w:rsidRDefault="00B21432" w:rsidP="008A0C89">
            <w:pPr>
              <w:pStyle w:val="Heading1"/>
            </w:pPr>
            <w:r w:rsidRPr="00631897">
              <w:t>BILL ANALYSIS</w:t>
            </w:r>
          </w:p>
        </w:tc>
      </w:tr>
    </w:tbl>
    <w:p w14:paraId="14907CAC" w14:textId="77777777" w:rsidR="008423E4" w:rsidRPr="0022177D" w:rsidRDefault="008423E4" w:rsidP="008A0C89">
      <w:pPr>
        <w:jc w:val="center"/>
      </w:pPr>
    </w:p>
    <w:p w14:paraId="060BA150" w14:textId="77777777" w:rsidR="008423E4" w:rsidRPr="00B31F0E" w:rsidRDefault="008423E4" w:rsidP="008A0C89"/>
    <w:p w14:paraId="073830D7" w14:textId="77777777" w:rsidR="008423E4" w:rsidRPr="00742794" w:rsidRDefault="008423E4" w:rsidP="008A0C8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F745D" w14:paraId="1A9F636B" w14:textId="77777777" w:rsidTr="00345119">
        <w:tc>
          <w:tcPr>
            <w:tcW w:w="9576" w:type="dxa"/>
          </w:tcPr>
          <w:p w14:paraId="11B6531E" w14:textId="51C554AF" w:rsidR="008423E4" w:rsidRPr="00861995" w:rsidRDefault="00B21432" w:rsidP="008A0C89">
            <w:pPr>
              <w:jc w:val="right"/>
            </w:pPr>
            <w:r>
              <w:t>C.S.H.B. 2935</w:t>
            </w:r>
          </w:p>
        </w:tc>
      </w:tr>
      <w:tr w:rsidR="004F745D" w14:paraId="29690699" w14:textId="77777777" w:rsidTr="00345119">
        <w:tc>
          <w:tcPr>
            <w:tcW w:w="9576" w:type="dxa"/>
          </w:tcPr>
          <w:p w14:paraId="6FB5B837" w14:textId="72C373F7" w:rsidR="008423E4" w:rsidRPr="00861995" w:rsidRDefault="00B21432" w:rsidP="008A0C89">
            <w:pPr>
              <w:jc w:val="right"/>
            </w:pPr>
            <w:r>
              <w:t xml:space="preserve">By: </w:t>
            </w:r>
            <w:r w:rsidR="006171C5">
              <w:t>Lopez, Janie</w:t>
            </w:r>
          </w:p>
        </w:tc>
      </w:tr>
      <w:tr w:rsidR="004F745D" w14:paraId="4D958163" w14:textId="77777777" w:rsidTr="00345119">
        <w:tc>
          <w:tcPr>
            <w:tcW w:w="9576" w:type="dxa"/>
          </w:tcPr>
          <w:p w14:paraId="3D2EF5B9" w14:textId="1707F020" w:rsidR="008423E4" w:rsidRPr="00861995" w:rsidRDefault="00B21432" w:rsidP="008A0C89">
            <w:pPr>
              <w:jc w:val="right"/>
            </w:pPr>
            <w:r>
              <w:t>Corrections</w:t>
            </w:r>
          </w:p>
        </w:tc>
      </w:tr>
      <w:tr w:rsidR="004F745D" w14:paraId="1D09A786" w14:textId="77777777" w:rsidTr="00345119">
        <w:tc>
          <w:tcPr>
            <w:tcW w:w="9576" w:type="dxa"/>
          </w:tcPr>
          <w:p w14:paraId="7B91A23B" w14:textId="227CB57B" w:rsidR="008423E4" w:rsidRDefault="00B21432" w:rsidP="008A0C89">
            <w:pPr>
              <w:jc w:val="right"/>
            </w:pPr>
            <w:r>
              <w:t>Committee Report (Substituted)</w:t>
            </w:r>
          </w:p>
        </w:tc>
      </w:tr>
    </w:tbl>
    <w:p w14:paraId="166C7D59" w14:textId="77777777" w:rsidR="008423E4" w:rsidRDefault="008423E4" w:rsidP="008A0C89">
      <w:pPr>
        <w:tabs>
          <w:tab w:val="right" w:pos="9360"/>
        </w:tabs>
      </w:pPr>
    </w:p>
    <w:p w14:paraId="5B11859D" w14:textId="77777777" w:rsidR="008423E4" w:rsidRDefault="008423E4" w:rsidP="008A0C89"/>
    <w:p w14:paraId="4A3FC069" w14:textId="77777777" w:rsidR="008423E4" w:rsidRDefault="008423E4" w:rsidP="008A0C8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F745D" w14:paraId="04B2D53C" w14:textId="77777777" w:rsidTr="00345119">
        <w:tc>
          <w:tcPr>
            <w:tcW w:w="9576" w:type="dxa"/>
          </w:tcPr>
          <w:p w14:paraId="0AC556F6" w14:textId="77777777" w:rsidR="008423E4" w:rsidRPr="00A8133F" w:rsidRDefault="00B21432" w:rsidP="008A0C8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FA5D489" w14:textId="3977D7C1" w:rsidR="008423E4" w:rsidRDefault="00B21432" w:rsidP="008A0C89">
            <w:r>
              <w:t xml:space="preserve"> </w:t>
            </w:r>
          </w:p>
          <w:p w14:paraId="27D77C50" w14:textId="4826117B" w:rsidR="008423E4" w:rsidRDefault="00B21432" w:rsidP="008A0C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01E3D">
              <w:t xml:space="preserve">There is a lack of reentry and reintegration services that can </w:t>
            </w:r>
            <w:r w:rsidR="008D157B">
              <w:t xml:space="preserve">adequately </w:t>
            </w:r>
            <w:r w:rsidRPr="00C01E3D">
              <w:t xml:space="preserve">provide support and assistance to veterans </w:t>
            </w:r>
            <w:r w:rsidR="003B39BD">
              <w:t xml:space="preserve">who have served time in prison </w:t>
            </w:r>
            <w:r w:rsidRPr="00C01E3D">
              <w:t>as they reintegrate into society and work to rebuild their lives. Veterans who have been incarcerated may require additional support such as employment, education</w:t>
            </w:r>
            <w:r w:rsidR="00281978">
              <w:t>,</w:t>
            </w:r>
            <w:r w:rsidRPr="00C01E3D">
              <w:t xml:space="preserve"> housing, financial</w:t>
            </w:r>
            <w:r w:rsidRPr="00C01E3D">
              <w:t xml:space="preserve"> support for the </w:t>
            </w:r>
            <w:r w:rsidR="00697D73">
              <w:t>inmate</w:t>
            </w:r>
            <w:r w:rsidR="00697D73" w:rsidRPr="00C01E3D">
              <w:t xml:space="preserve">'s </w:t>
            </w:r>
            <w:r w:rsidRPr="00C01E3D">
              <w:t>family, and medical or mental health care</w:t>
            </w:r>
            <w:r w:rsidR="007526DC">
              <w:t>, to which they may be entitled on account of their veteran status</w:t>
            </w:r>
            <w:r w:rsidRPr="00C01E3D">
              <w:t xml:space="preserve">. </w:t>
            </w:r>
            <w:r w:rsidR="003B39BD">
              <w:t>C.S.</w:t>
            </w:r>
            <w:r w:rsidRPr="00C01E3D">
              <w:t>H</w:t>
            </w:r>
            <w:r w:rsidR="003B39BD">
              <w:t>.</w:t>
            </w:r>
            <w:r w:rsidRPr="00C01E3D">
              <w:t>B</w:t>
            </w:r>
            <w:r w:rsidR="003B39BD">
              <w:t>.</w:t>
            </w:r>
            <w:r w:rsidR="00281978">
              <w:t> </w:t>
            </w:r>
            <w:r w:rsidRPr="00C01E3D">
              <w:t xml:space="preserve">2935 </w:t>
            </w:r>
            <w:r w:rsidR="003B39BD">
              <w:t>seeks to remedy this situation by requiring</w:t>
            </w:r>
            <w:r w:rsidRPr="00C01E3D">
              <w:t xml:space="preserve"> a </w:t>
            </w:r>
            <w:r w:rsidR="007526DC">
              <w:t xml:space="preserve">reentry and reintegration </w:t>
            </w:r>
            <w:r w:rsidRPr="00C01E3D">
              <w:t xml:space="preserve">plan </w:t>
            </w:r>
            <w:r w:rsidR="007526DC">
              <w:t>to be developed for veterans that utilize</w:t>
            </w:r>
            <w:r w:rsidR="00C07C34">
              <w:t>s</w:t>
            </w:r>
            <w:r w:rsidR="007526DC">
              <w:t xml:space="preserve"> all benefits to which the veteran is eligible. </w:t>
            </w:r>
            <w:r w:rsidRPr="00C01E3D">
              <w:t xml:space="preserve"> </w:t>
            </w:r>
          </w:p>
          <w:p w14:paraId="10C8DC29" w14:textId="77777777" w:rsidR="008423E4" w:rsidRPr="00E26B13" w:rsidRDefault="008423E4" w:rsidP="008A0C89">
            <w:pPr>
              <w:rPr>
                <w:b/>
              </w:rPr>
            </w:pPr>
          </w:p>
        </w:tc>
      </w:tr>
      <w:tr w:rsidR="004F745D" w14:paraId="388452E7" w14:textId="77777777" w:rsidTr="00345119">
        <w:tc>
          <w:tcPr>
            <w:tcW w:w="9576" w:type="dxa"/>
          </w:tcPr>
          <w:p w14:paraId="5BAB0515" w14:textId="77777777" w:rsidR="0017725B" w:rsidRDefault="00B21432" w:rsidP="008A0C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AEEEFDD" w14:textId="77777777" w:rsidR="0017725B" w:rsidRDefault="0017725B" w:rsidP="008A0C89">
            <w:pPr>
              <w:rPr>
                <w:b/>
                <w:u w:val="single"/>
              </w:rPr>
            </w:pPr>
          </w:p>
          <w:p w14:paraId="4B74C714" w14:textId="77777777" w:rsidR="001F5157" w:rsidRPr="001F5157" w:rsidRDefault="00B21432" w:rsidP="008A0C8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5A062347" w14:textId="77777777" w:rsidR="0017725B" w:rsidRPr="0017725B" w:rsidRDefault="0017725B" w:rsidP="008A0C89">
            <w:pPr>
              <w:rPr>
                <w:b/>
                <w:u w:val="single"/>
              </w:rPr>
            </w:pPr>
          </w:p>
        </w:tc>
      </w:tr>
      <w:tr w:rsidR="004F745D" w14:paraId="6FE53D2E" w14:textId="77777777" w:rsidTr="00345119">
        <w:tc>
          <w:tcPr>
            <w:tcW w:w="9576" w:type="dxa"/>
          </w:tcPr>
          <w:p w14:paraId="476D4847" w14:textId="77777777" w:rsidR="008423E4" w:rsidRPr="00A8133F" w:rsidRDefault="00B21432" w:rsidP="008A0C8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7A95E6" w14:textId="77777777" w:rsidR="008423E4" w:rsidRDefault="008423E4" w:rsidP="008A0C89"/>
          <w:p w14:paraId="67D564AE" w14:textId="77777777" w:rsidR="001F5157" w:rsidRDefault="00B21432" w:rsidP="008A0C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00845609" w14:textId="77777777" w:rsidR="008423E4" w:rsidRPr="00E21FDC" w:rsidRDefault="008423E4" w:rsidP="008A0C89">
            <w:pPr>
              <w:rPr>
                <w:b/>
              </w:rPr>
            </w:pPr>
          </w:p>
        </w:tc>
      </w:tr>
      <w:tr w:rsidR="004F745D" w14:paraId="0F039C02" w14:textId="77777777" w:rsidTr="00345119">
        <w:tc>
          <w:tcPr>
            <w:tcW w:w="9576" w:type="dxa"/>
          </w:tcPr>
          <w:p w14:paraId="48690A78" w14:textId="77777777" w:rsidR="008423E4" w:rsidRPr="00A8133F" w:rsidRDefault="00B21432" w:rsidP="008A0C8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0C36D3F" w14:textId="77777777" w:rsidR="008423E4" w:rsidRDefault="008423E4" w:rsidP="008A0C89"/>
          <w:p w14:paraId="6442C095" w14:textId="093CABC1" w:rsidR="009C36CD" w:rsidRDefault="00B21432" w:rsidP="008A0C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1F5157">
              <w:t xml:space="preserve">H.B. </w:t>
            </w:r>
            <w:r w:rsidR="008B0C3B" w:rsidRPr="008B0C3B">
              <w:t xml:space="preserve">2935 </w:t>
            </w:r>
            <w:r w:rsidR="001F5157">
              <w:t xml:space="preserve">amends the Government Code to require the Texas Department of Criminal Justice (TDCJ) to develop a comprehensive plan to ensure the successful reentry or reintegration </w:t>
            </w:r>
            <w:r w:rsidR="007C698A">
              <w:t xml:space="preserve">from TDCJ </w:t>
            </w:r>
            <w:r w:rsidR="001F5157">
              <w:t xml:space="preserve">into the community following discharge </w:t>
            </w:r>
            <w:r w:rsidRPr="00130EA6">
              <w:t xml:space="preserve">or release on parole or to mandatory supervision </w:t>
            </w:r>
            <w:r w:rsidR="001F5157">
              <w:t xml:space="preserve">of </w:t>
            </w:r>
            <w:r>
              <w:t xml:space="preserve">inmates </w:t>
            </w:r>
            <w:r w:rsidR="001F5157">
              <w:t xml:space="preserve">whose veteran status has been verified by TDCJ. </w:t>
            </w:r>
            <w:r w:rsidR="005B0055">
              <w:t xml:space="preserve">The bill requires the plan to utilize all benefits that the </w:t>
            </w:r>
            <w:r>
              <w:t xml:space="preserve">inmate </w:t>
            </w:r>
            <w:r w:rsidR="005B0055">
              <w:t xml:space="preserve">is eligible for to provide for the following, as applicable, after the </w:t>
            </w:r>
            <w:r w:rsidR="00697D73">
              <w:t xml:space="preserve">inmate's </w:t>
            </w:r>
            <w:r w:rsidR="005B0055">
              <w:t>discharge</w:t>
            </w:r>
            <w:r w:rsidR="00C80772">
              <w:t xml:space="preserve"> or release</w:t>
            </w:r>
            <w:r w:rsidR="005B0055">
              <w:t>:</w:t>
            </w:r>
          </w:p>
          <w:p w14:paraId="6FE304E5" w14:textId="77777777" w:rsidR="005B0055" w:rsidRDefault="00B21432" w:rsidP="008A0C89">
            <w:pPr>
              <w:pStyle w:val="Header"/>
              <w:numPr>
                <w:ilvl w:val="0"/>
                <w:numId w:val="1"/>
              </w:numPr>
              <w:jc w:val="both"/>
            </w:pPr>
            <w:r>
              <w:t>housing;</w:t>
            </w:r>
          </w:p>
          <w:p w14:paraId="733FB8A7" w14:textId="77777777" w:rsidR="005B0055" w:rsidRDefault="00B21432" w:rsidP="008A0C89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employment;</w:t>
            </w:r>
          </w:p>
          <w:p w14:paraId="6E9BDB6C" w14:textId="77777777" w:rsidR="005B0055" w:rsidRDefault="00B21432" w:rsidP="008A0C89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education;</w:t>
            </w:r>
          </w:p>
          <w:p w14:paraId="6C3DA8B5" w14:textId="0ADA9286" w:rsidR="005B0055" w:rsidRDefault="00B21432" w:rsidP="008A0C89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financial support for the </w:t>
            </w:r>
            <w:r w:rsidR="00C80772">
              <w:t xml:space="preserve">inmate's </w:t>
            </w:r>
            <w:r>
              <w:t>family; and</w:t>
            </w:r>
          </w:p>
          <w:p w14:paraId="147E05F1" w14:textId="77777777" w:rsidR="005B0055" w:rsidRDefault="00B21432" w:rsidP="008A0C8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medical or mental health care.</w:t>
            </w:r>
          </w:p>
          <w:p w14:paraId="7DD9D709" w14:textId="7795B0CD" w:rsidR="00011EC6" w:rsidRDefault="00B21432" w:rsidP="008A0C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plan must requ</w:t>
            </w:r>
            <w:r w:rsidR="00EA618B">
              <w:t>ire TDCJ to maintain written documentation in the inmate</w:t>
            </w:r>
            <w:r w:rsidR="00281978">
              <w:t>'</w:t>
            </w:r>
            <w:r w:rsidR="00EA618B">
              <w:t xml:space="preserve">s file that describes each benefit the inmate is eligible for and how the plan utilizes the benefit. </w:t>
            </w:r>
          </w:p>
          <w:p w14:paraId="569963F5" w14:textId="77777777" w:rsidR="00EA618B" w:rsidRDefault="00EA618B" w:rsidP="008A0C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BBA9938" w14:textId="7E33E63C" w:rsidR="00BF5277" w:rsidRDefault="00B21432" w:rsidP="008A0C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2935</w:t>
            </w:r>
            <w:r w:rsidR="005B0055">
              <w:t xml:space="preserve"> </w:t>
            </w:r>
            <w:r w:rsidR="00AC48E8">
              <w:t xml:space="preserve">authorizes </w:t>
            </w:r>
            <w:r w:rsidR="005B0055">
              <w:t xml:space="preserve">TDCJ to contract with private vendors or other entities to implement the comprehensive reentry and reintegration plan. </w:t>
            </w:r>
            <w:r w:rsidR="00AC48E8">
              <w:t>The bill</w:t>
            </w:r>
            <w:r>
              <w:t xml:space="preserve"> requires TDCJ to use the best available federal data to assist inmates who are veterans in applying for state benefits or compensation f</w:t>
            </w:r>
            <w:r>
              <w:t xml:space="preserve">or which the inmates may be eligible under any state law or program. </w:t>
            </w:r>
          </w:p>
          <w:p w14:paraId="5094DF65" w14:textId="77777777" w:rsidR="00BF5277" w:rsidRDefault="00BF5277" w:rsidP="008A0C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A4B0EAA" w14:textId="4F013DF3" w:rsidR="00BF5277" w:rsidRDefault="00B21432" w:rsidP="008A0C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8B0C3B" w:rsidRPr="008B0C3B">
              <w:t xml:space="preserve">2935 </w:t>
            </w:r>
            <w:r>
              <w:t>requires</w:t>
            </w:r>
            <w:r w:rsidRPr="00BF5277">
              <w:t xml:space="preserve"> the commun</w:t>
            </w:r>
            <w:r>
              <w:t xml:space="preserve">ity justice assistance division </w:t>
            </w:r>
            <w:r w:rsidR="00AC48E8">
              <w:t xml:space="preserve">of TDCJ </w:t>
            </w:r>
            <w:r>
              <w:t xml:space="preserve">to require each </w:t>
            </w:r>
            <w:r w:rsidRPr="00BF5277">
              <w:t>community supervision and corrections department</w:t>
            </w:r>
            <w:r w:rsidR="008D6669">
              <w:t xml:space="preserve"> to develop and implement a comprehensive plan to:</w:t>
            </w:r>
          </w:p>
          <w:p w14:paraId="2C7E7BF5" w14:textId="77777777" w:rsidR="008D6669" w:rsidRDefault="00B21432" w:rsidP="008A0C89">
            <w:pPr>
              <w:pStyle w:val="Header"/>
              <w:numPr>
                <w:ilvl w:val="0"/>
                <w:numId w:val="2"/>
              </w:numPr>
              <w:jc w:val="both"/>
            </w:pPr>
            <w:r>
              <w:t>determine if a defendant placed on community supervision is a veteran; and</w:t>
            </w:r>
          </w:p>
          <w:p w14:paraId="0B662493" w14:textId="77777777" w:rsidR="008D6669" w:rsidRDefault="00B21432" w:rsidP="008A0C89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assist the defendant in obtaining any federal or state veterans benefits for which the defendant is eligible to provide for the following, as applicable, during the defendant's t</w:t>
            </w:r>
            <w:r>
              <w:t>erm of community supervision:</w:t>
            </w:r>
          </w:p>
          <w:p w14:paraId="6895C237" w14:textId="77777777" w:rsidR="008D6669" w:rsidRDefault="00B21432" w:rsidP="008A0C89">
            <w:pPr>
              <w:pStyle w:val="Header"/>
              <w:numPr>
                <w:ilvl w:val="1"/>
                <w:numId w:val="2"/>
              </w:numPr>
              <w:jc w:val="both"/>
            </w:pPr>
            <w:r>
              <w:t>housing;</w:t>
            </w:r>
          </w:p>
          <w:p w14:paraId="54489544" w14:textId="77777777" w:rsidR="008D6669" w:rsidRDefault="00B21432" w:rsidP="008A0C89">
            <w:pPr>
              <w:pStyle w:val="Header"/>
              <w:numPr>
                <w:ilvl w:val="1"/>
                <w:numId w:val="2"/>
              </w:numPr>
              <w:jc w:val="both"/>
            </w:pPr>
            <w:r>
              <w:t>employment;</w:t>
            </w:r>
          </w:p>
          <w:p w14:paraId="7F933102" w14:textId="77777777" w:rsidR="008D6669" w:rsidRDefault="00B21432" w:rsidP="008A0C89">
            <w:pPr>
              <w:pStyle w:val="Header"/>
              <w:numPr>
                <w:ilvl w:val="1"/>
                <w:numId w:val="2"/>
              </w:numPr>
              <w:jc w:val="both"/>
            </w:pPr>
            <w:r>
              <w:t>education;</w:t>
            </w:r>
          </w:p>
          <w:p w14:paraId="4CCC1BBA" w14:textId="77777777" w:rsidR="008D6669" w:rsidRDefault="00B21432" w:rsidP="008A0C89">
            <w:pPr>
              <w:pStyle w:val="Header"/>
              <w:numPr>
                <w:ilvl w:val="1"/>
                <w:numId w:val="2"/>
              </w:numPr>
              <w:jc w:val="both"/>
            </w:pPr>
            <w:r>
              <w:t>financial support for the defendant's family; and</w:t>
            </w:r>
          </w:p>
          <w:p w14:paraId="4D508E1A" w14:textId="77777777" w:rsidR="008D6669" w:rsidRPr="009C36CD" w:rsidRDefault="00B21432" w:rsidP="008A0C89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medical or mental health care.</w:t>
            </w:r>
          </w:p>
          <w:p w14:paraId="26686BFD" w14:textId="77777777" w:rsidR="008423E4" w:rsidRPr="00835628" w:rsidRDefault="008423E4" w:rsidP="008A0C89">
            <w:pPr>
              <w:rPr>
                <w:b/>
              </w:rPr>
            </w:pPr>
          </w:p>
        </w:tc>
      </w:tr>
      <w:tr w:rsidR="004F745D" w14:paraId="59CB1B40" w14:textId="77777777" w:rsidTr="00345119">
        <w:tc>
          <w:tcPr>
            <w:tcW w:w="9576" w:type="dxa"/>
          </w:tcPr>
          <w:p w14:paraId="1884BD10" w14:textId="77777777" w:rsidR="008423E4" w:rsidRPr="00A8133F" w:rsidRDefault="00B21432" w:rsidP="008A0C8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755DB77" w14:textId="77777777" w:rsidR="008423E4" w:rsidRDefault="008423E4" w:rsidP="008A0C89"/>
          <w:p w14:paraId="73D13719" w14:textId="577623F7" w:rsidR="008423E4" w:rsidRPr="003624F2" w:rsidRDefault="00B21432" w:rsidP="008A0C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45599B">
              <w:t>3</w:t>
            </w:r>
            <w:r>
              <w:t>.</w:t>
            </w:r>
          </w:p>
          <w:p w14:paraId="3C3BB63D" w14:textId="77777777" w:rsidR="008423E4" w:rsidRPr="00233FDB" w:rsidRDefault="008423E4" w:rsidP="008A0C89">
            <w:pPr>
              <w:rPr>
                <w:b/>
              </w:rPr>
            </w:pPr>
          </w:p>
        </w:tc>
      </w:tr>
      <w:tr w:rsidR="004F745D" w14:paraId="393665FA" w14:textId="77777777" w:rsidTr="00345119">
        <w:tc>
          <w:tcPr>
            <w:tcW w:w="9576" w:type="dxa"/>
          </w:tcPr>
          <w:p w14:paraId="0A968367" w14:textId="77777777" w:rsidR="006171C5" w:rsidRDefault="00B21432" w:rsidP="008A0C8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8D8E5BA" w14:textId="77777777" w:rsidR="00EA618B" w:rsidRDefault="00EA618B" w:rsidP="008A0C89">
            <w:pPr>
              <w:jc w:val="both"/>
            </w:pPr>
          </w:p>
          <w:p w14:paraId="246413AE" w14:textId="32B9C406" w:rsidR="00EA618B" w:rsidRDefault="00B21432" w:rsidP="008A0C89">
            <w:pPr>
              <w:jc w:val="both"/>
            </w:pPr>
            <w:r>
              <w:t xml:space="preserve">While C.S.H.B. </w:t>
            </w:r>
            <w:r w:rsidR="003307CE">
              <w:t>2935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2A2258DA" w14:textId="02B76702" w:rsidR="00EA618B" w:rsidRDefault="00EA618B" w:rsidP="008A0C89">
            <w:pPr>
              <w:jc w:val="both"/>
            </w:pPr>
          </w:p>
          <w:p w14:paraId="50F779F6" w14:textId="45BFBDCE" w:rsidR="00EA618B" w:rsidRDefault="00B21432" w:rsidP="008A0C89">
            <w:pPr>
              <w:jc w:val="both"/>
            </w:pPr>
            <w:r>
              <w:t xml:space="preserve">Whereas the introduced required </w:t>
            </w:r>
            <w:r w:rsidR="00EB22AB">
              <w:t xml:space="preserve">TDCJ to develop a </w:t>
            </w:r>
            <w:r w:rsidR="007C698A">
              <w:t xml:space="preserve">reentry and reintegration </w:t>
            </w:r>
            <w:r>
              <w:t>p</w:t>
            </w:r>
            <w:r w:rsidR="003307CE">
              <w:t>l</w:t>
            </w:r>
            <w:r>
              <w:t>an for offenders who are</w:t>
            </w:r>
            <w:r w:rsidR="00EB22AB">
              <w:t xml:space="preserve"> veterans and discharged from TDCJ, the substitute </w:t>
            </w:r>
            <w:r>
              <w:t>r</w:t>
            </w:r>
            <w:r w:rsidR="00EB22AB">
              <w:t>e</w:t>
            </w:r>
            <w:r>
              <w:t xml:space="preserve">quires TDCJ to develop such a plan for </w:t>
            </w:r>
            <w:r w:rsidR="00EB22AB">
              <w:t xml:space="preserve">inmates who are veterans and </w:t>
            </w:r>
            <w:r w:rsidR="002F7859">
              <w:t xml:space="preserve">discharged or </w:t>
            </w:r>
            <w:r w:rsidR="00EB22AB">
              <w:t>released on parole or to mandatory supervision</w:t>
            </w:r>
            <w:r w:rsidR="002F7859">
              <w:t xml:space="preserve"> from TDCJ</w:t>
            </w:r>
            <w:r w:rsidR="00EB22AB">
              <w:t>.</w:t>
            </w:r>
            <w:r w:rsidR="003307CE">
              <w:t xml:space="preserve"> </w:t>
            </w:r>
            <w:r w:rsidR="002E306A">
              <w:t xml:space="preserve"> </w:t>
            </w:r>
          </w:p>
          <w:p w14:paraId="23E58948" w14:textId="37D0604E" w:rsidR="003307CE" w:rsidRDefault="003307CE" w:rsidP="008A0C89">
            <w:pPr>
              <w:jc w:val="both"/>
            </w:pPr>
          </w:p>
          <w:p w14:paraId="500B5F4F" w14:textId="6240D77F" w:rsidR="003307CE" w:rsidRDefault="00B21432" w:rsidP="008A0C89">
            <w:pPr>
              <w:jc w:val="both"/>
            </w:pPr>
            <w:r>
              <w:t xml:space="preserve">The substitute includes a </w:t>
            </w:r>
            <w:r w:rsidR="003B39BD">
              <w:t xml:space="preserve">requirement </w:t>
            </w:r>
            <w:r>
              <w:t xml:space="preserve">absent from the introduced </w:t>
            </w:r>
            <w:r w:rsidR="003B39BD">
              <w:t xml:space="preserve">for the plan to require TDCJ </w:t>
            </w:r>
            <w:r w:rsidRPr="003307CE">
              <w:t xml:space="preserve">to maintain written documentation in the inmate's file that describes each benefit the inmate is eligible for and how the plan utilizes </w:t>
            </w:r>
            <w:r w:rsidRPr="003307CE">
              <w:t>the benefit.</w:t>
            </w:r>
          </w:p>
          <w:p w14:paraId="0602EC78" w14:textId="2E53CE82" w:rsidR="00EA618B" w:rsidRPr="00EA618B" w:rsidRDefault="00EA618B" w:rsidP="008A0C89">
            <w:pPr>
              <w:jc w:val="both"/>
            </w:pPr>
          </w:p>
        </w:tc>
      </w:tr>
      <w:tr w:rsidR="004F745D" w14:paraId="2F74153D" w14:textId="77777777" w:rsidTr="00345119">
        <w:tc>
          <w:tcPr>
            <w:tcW w:w="9576" w:type="dxa"/>
          </w:tcPr>
          <w:p w14:paraId="6054C771" w14:textId="77777777" w:rsidR="006171C5" w:rsidRPr="009C1E9A" w:rsidRDefault="006171C5" w:rsidP="008A0C89">
            <w:pPr>
              <w:rPr>
                <w:b/>
                <w:u w:val="single"/>
              </w:rPr>
            </w:pPr>
          </w:p>
        </w:tc>
      </w:tr>
      <w:tr w:rsidR="004F745D" w14:paraId="434562B4" w14:textId="77777777" w:rsidTr="00345119">
        <w:tc>
          <w:tcPr>
            <w:tcW w:w="9576" w:type="dxa"/>
          </w:tcPr>
          <w:p w14:paraId="56B6F0EC" w14:textId="77777777" w:rsidR="006171C5" w:rsidRPr="006171C5" w:rsidRDefault="006171C5" w:rsidP="008A0C89">
            <w:pPr>
              <w:jc w:val="both"/>
            </w:pPr>
          </w:p>
        </w:tc>
      </w:tr>
    </w:tbl>
    <w:p w14:paraId="5FE13EF7" w14:textId="77777777" w:rsidR="008423E4" w:rsidRPr="00BE0E75" w:rsidRDefault="008423E4" w:rsidP="008A0C89">
      <w:pPr>
        <w:jc w:val="both"/>
        <w:rPr>
          <w:rFonts w:ascii="Arial" w:hAnsi="Arial"/>
          <w:sz w:val="16"/>
          <w:szCs w:val="16"/>
        </w:rPr>
      </w:pPr>
    </w:p>
    <w:p w14:paraId="5F3965F7" w14:textId="77777777" w:rsidR="004108C3" w:rsidRPr="008423E4" w:rsidRDefault="004108C3" w:rsidP="008A0C8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2468" w14:textId="77777777" w:rsidR="00000000" w:rsidRDefault="00B21432">
      <w:r>
        <w:separator/>
      </w:r>
    </w:p>
  </w:endnote>
  <w:endnote w:type="continuationSeparator" w:id="0">
    <w:p w14:paraId="0E3DD90B" w14:textId="77777777" w:rsidR="00000000" w:rsidRDefault="00B2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22E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F745D" w14:paraId="33975B33" w14:textId="77777777" w:rsidTr="009C1E9A">
      <w:trPr>
        <w:cantSplit/>
      </w:trPr>
      <w:tc>
        <w:tcPr>
          <w:tcW w:w="0" w:type="pct"/>
        </w:tcPr>
        <w:p w14:paraId="544C24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256D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D6948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0BAC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D6EE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745D" w14:paraId="0458EA54" w14:textId="77777777" w:rsidTr="009C1E9A">
      <w:trPr>
        <w:cantSplit/>
      </w:trPr>
      <w:tc>
        <w:tcPr>
          <w:tcW w:w="0" w:type="pct"/>
        </w:tcPr>
        <w:p w14:paraId="50927A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63620F" w14:textId="366A110C" w:rsidR="00EC379B" w:rsidRPr="009C1E9A" w:rsidRDefault="00B2143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22660-D</w:t>
          </w:r>
        </w:p>
      </w:tc>
      <w:tc>
        <w:tcPr>
          <w:tcW w:w="2453" w:type="pct"/>
        </w:tcPr>
        <w:p w14:paraId="65B5A3C7" w14:textId="6DA3F856" w:rsidR="00EC379B" w:rsidRDefault="00B2143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A0C89">
            <w:t>23.105.293</w:t>
          </w:r>
          <w:r>
            <w:fldChar w:fldCharType="end"/>
          </w:r>
        </w:p>
      </w:tc>
    </w:tr>
    <w:tr w:rsidR="004F745D" w14:paraId="53E84A80" w14:textId="77777777" w:rsidTr="009C1E9A">
      <w:trPr>
        <w:cantSplit/>
      </w:trPr>
      <w:tc>
        <w:tcPr>
          <w:tcW w:w="0" w:type="pct"/>
        </w:tcPr>
        <w:p w14:paraId="6222549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A14B212" w14:textId="2693C86E" w:rsidR="00EC379B" w:rsidRPr="009C1E9A" w:rsidRDefault="00B2143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19286</w:t>
          </w:r>
        </w:p>
      </w:tc>
      <w:tc>
        <w:tcPr>
          <w:tcW w:w="2453" w:type="pct"/>
        </w:tcPr>
        <w:p w14:paraId="67004EB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1D92E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745D" w14:paraId="613E796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17EE566" w14:textId="3541D39B" w:rsidR="00EC379B" w:rsidRDefault="00B2143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3443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C3325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4C419E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AAB2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DC90" w14:textId="77777777" w:rsidR="00000000" w:rsidRDefault="00B21432">
      <w:r>
        <w:separator/>
      </w:r>
    </w:p>
  </w:footnote>
  <w:footnote w:type="continuationSeparator" w:id="0">
    <w:p w14:paraId="01E31AA7" w14:textId="77777777" w:rsidR="00000000" w:rsidRDefault="00B2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F80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022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8BB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996"/>
    <w:multiLevelType w:val="hybridMultilevel"/>
    <w:tmpl w:val="68F02924"/>
    <w:lvl w:ilvl="0" w:tplc="80DC0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8D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27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81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0B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8F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03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0F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8E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664BD"/>
    <w:multiLevelType w:val="hybridMultilevel"/>
    <w:tmpl w:val="FC7E0A6A"/>
    <w:lvl w:ilvl="0" w:tplc="9AA89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20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EA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0F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B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C1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A3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6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43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7E"/>
    <w:rsid w:val="00000A70"/>
    <w:rsid w:val="000032B8"/>
    <w:rsid w:val="00003B06"/>
    <w:rsid w:val="000054B9"/>
    <w:rsid w:val="00007461"/>
    <w:rsid w:val="0001117E"/>
    <w:rsid w:val="0001125F"/>
    <w:rsid w:val="00011EC6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7D3B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0EA6"/>
    <w:rsid w:val="001312BB"/>
    <w:rsid w:val="00137D90"/>
    <w:rsid w:val="00141FB6"/>
    <w:rsid w:val="00142F8E"/>
    <w:rsid w:val="001434B6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157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1978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852"/>
    <w:rsid w:val="002E21B8"/>
    <w:rsid w:val="002E306A"/>
    <w:rsid w:val="002E7DF9"/>
    <w:rsid w:val="002F097B"/>
    <w:rsid w:val="002F2B1A"/>
    <w:rsid w:val="002F3111"/>
    <w:rsid w:val="002F4AEC"/>
    <w:rsid w:val="002F7859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07CE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9BD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99B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45D"/>
    <w:rsid w:val="00500121"/>
    <w:rsid w:val="005017AC"/>
    <w:rsid w:val="00501E8A"/>
    <w:rsid w:val="00505121"/>
    <w:rsid w:val="00505C04"/>
    <w:rsid w:val="00505F1B"/>
    <w:rsid w:val="005073E8"/>
    <w:rsid w:val="00510503"/>
    <w:rsid w:val="00511CB0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A34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055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1C5"/>
    <w:rsid w:val="00617411"/>
    <w:rsid w:val="006249CB"/>
    <w:rsid w:val="006272DD"/>
    <w:rsid w:val="00630963"/>
    <w:rsid w:val="006312A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97D73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24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43F"/>
    <w:rsid w:val="00735B9D"/>
    <w:rsid w:val="007361B9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C6F"/>
    <w:rsid w:val="007509BE"/>
    <w:rsid w:val="007526DC"/>
    <w:rsid w:val="0075287B"/>
    <w:rsid w:val="007558E9"/>
    <w:rsid w:val="00755C7B"/>
    <w:rsid w:val="00763B57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698A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0C89"/>
    <w:rsid w:val="008A3188"/>
    <w:rsid w:val="008A3FDF"/>
    <w:rsid w:val="008A6418"/>
    <w:rsid w:val="008B05D8"/>
    <w:rsid w:val="008B0B3D"/>
    <w:rsid w:val="008B0C3B"/>
    <w:rsid w:val="008B2B1A"/>
    <w:rsid w:val="008B3428"/>
    <w:rsid w:val="008B7785"/>
    <w:rsid w:val="008C0809"/>
    <w:rsid w:val="008C132C"/>
    <w:rsid w:val="008C3FD0"/>
    <w:rsid w:val="008C5BA8"/>
    <w:rsid w:val="008D157B"/>
    <w:rsid w:val="008D27A5"/>
    <w:rsid w:val="008D2AAB"/>
    <w:rsid w:val="008D309C"/>
    <w:rsid w:val="008D58F9"/>
    <w:rsid w:val="008D6669"/>
    <w:rsid w:val="008E3338"/>
    <w:rsid w:val="008E47BE"/>
    <w:rsid w:val="008F067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7F3"/>
    <w:rsid w:val="00924EA9"/>
    <w:rsid w:val="00925CE1"/>
    <w:rsid w:val="00925F5C"/>
    <w:rsid w:val="00926BBF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1E21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83C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B42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8E8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0C8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1432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277"/>
    <w:rsid w:val="00C013F4"/>
    <w:rsid w:val="00C01E3D"/>
    <w:rsid w:val="00C040AB"/>
    <w:rsid w:val="00C0499B"/>
    <w:rsid w:val="00C05406"/>
    <w:rsid w:val="00C05CF0"/>
    <w:rsid w:val="00C07C34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772"/>
    <w:rsid w:val="00C809AB"/>
    <w:rsid w:val="00C80B8F"/>
    <w:rsid w:val="00C82743"/>
    <w:rsid w:val="00C834CE"/>
    <w:rsid w:val="00C8778F"/>
    <w:rsid w:val="00C9047F"/>
    <w:rsid w:val="00C91F65"/>
    <w:rsid w:val="00C92310"/>
    <w:rsid w:val="00C95150"/>
    <w:rsid w:val="00C95A73"/>
    <w:rsid w:val="00CA02B0"/>
    <w:rsid w:val="00CA032E"/>
    <w:rsid w:val="00CA164F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F3A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735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4EF"/>
    <w:rsid w:val="00D76631"/>
    <w:rsid w:val="00D768B7"/>
    <w:rsid w:val="00D77492"/>
    <w:rsid w:val="00D811E8"/>
    <w:rsid w:val="00D81A44"/>
    <w:rsid w:val="00D83052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9ED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0CA"/>
    <w:rsid w:val="00E93DEF"/>
    <w:rsid w:val="00E947B1"/>
    <w:rsid w:val="00E96852"/>
    <w:rsid w:val="00EA16AC"/>
    <w:rsid w:val="00EA385A"/>
    <w:rsid w:val="00EA3931"/>
    <w:rsid w:val="00EA618B"/>
    <w:rsid w:val="00EA658E"/>
    <w:rsid w:val="00EA7A88"/>
    <w:rsid w:val="00EB22AB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E1D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C771F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50E094-30AF-451A-B95A-D2EEA51D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D66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6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66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6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6669"/>
    <w:rPr>
      <w:b/>
      <w:bCs/>
    </w:rPr>
  </w:style>
  <w:style w:type="paragraph" w:styleId="Revision">
    <w:name w:val="Revision"/>
    <w:hidden/>
    <w:uiPriority w:val="99"/>
    <w:semiHidden/>
    <w:rsid w:val="008D66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3235</Characters>
  <Application>Microsoft Office Word</Application>
  <DocSecurity>4</DocSecurity>
  <Lines>88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HB02935 (Committee Report (Substituted))</vt:lpstr>
    </vt:vector>
  </TitlesOfParts>
  <Company>State of Texas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22660</dc:subject>
  <dc:creator>State of Texas</dc:creator>
  <dc:description>HB 2935 by Lopez, Janie-(H)Corrections (Substitute Document Number: 88R 19286)</dc:description>
  <cp:lastModifiedBy>Alan Gonzalez Otero</cp:lastModifiedBy>
  <cp:revision>2</cp:revision>
  <cp:lastPrinted>2003-11-26T17:21:00Z</cp:lastPrinted>
  <dcterms:created xsi:type="dcterms:W3CDTF">2023-04-19T23:31:00Z</dcterms:created>
  <dcterms:modified xsi:type="dcterms:W3CDTF">2023-04-19T23:31:00Z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23.105.293</vt:lpwstr>
  </property>
</Properties>
</file>