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D6FA3" w14:paraId="307B8484" w14:textId="77777777" w:rsidTr="00345119">
        <w:tc>
          <w:tcPr>
            <w:tcW w:w="9576" w:type="dxa"/>
            <w:noWrap/>
          </w:tcPr>
          <w:p w14:paraId="0AA3297E" w14:textId="77777777" w:rsidR="008423E4" w:rsidRPr="0022177D" w:rsidRDefault="003A76A9" w:rsidP="00B360C2">
            <w:pPr>
              <w:pStyle w:val="Heading1"/>
            </w:pPr>
            <w:r w:rsidRPr="00631897">
              <w:t>BILL ANALYSIS</w:t>
            </w:r>
          </w:p>
        </w:tc>
      </w:tr>
    </w:tbl>
    <w:p w14:paraId="0D978935" w14:textId="77777777" w:rsidR="008423E4" w:rsidRPr="0022177D" w:rsidRDefault="008423E4" w:rsidP="00B360C2">
      <w:pPr>
        <w:jc w:val="center"/>
      </w:pPr>
    </w:p>
    <w:p w14:paraId="09777426" w14:textId="77777777" w:rsidR="008423E4" w:rsidRPr="00B31F0E" w:rsidRDefault="008423E4" w:rsidP="00B360C2"/>
    <w:p w14:paraId="46AF8AA1" w14:textId="77777777" w:rsidR="008423E4" w:rsidRPr="00742794" w:rsidRDefault="008423E4" w:rsidP="00B360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D6FA3" w14:paraId="03ACF071" w14:textId="77777777" w:rsidTr="00345119">
        <w:tc>
          <w:tcPr>
            <w:tcW w:w="9576" w:type="dxa"/>
          </w:tcPr>
          <w:p w14:paraId="57661E80" w14:textId="6F47CB79" w:rsidR="008423E4" w:rsidRPr="00861995" w:rsidRDefault="003A76A9" w:rsidP="00B360C2">
            <w:pPr>
              <w:jc w:val="right"/>
            </w:pPr>
            <w:r>
              <w:t>H.B. 2966</w:t>
            </w:r>
          </w:p>
        </w:tc>
      </w:tr>
      <w:tr w:rsidR="00AD6FA3" w14:paraId="7A2E7F1E" w14:textId="77777777" w:rsidTr="00345119">
        <w:tc>
          <w:tcPr>
            <w:tcW w:w="9576" w:type="dxa"/>
          </w:tcPr>
          <w:p w14:paraId="1C90CDA9" w14:textId="5864F213" w:rsidR="008423E4" w:rsidRPr="00861995" w:rsidRDefault="003A76A9" w:rsidP="00B360C2">
            <w:pPr>
              <w:jc w:val="right"/>
            </w:pPr>
            <w:r>
              <w:t xml:space="preserve">By: </w:t>
            </w:r>
            <w:r w:rsidR="00276DB9">
              <w:t>Noble</w:t>
            </w:r>
          </w:p>
        </w:tc>
      </w:tr>
      <w:tr w:rsidR="00AD6FA3" w14:paraId="0C5F730F" w14:textId="77777777" w:rsidTr="00345119">
        <w:tc>
          <w:tcPr>
            <w:tcW w:w="9576" w:type="dxa"/>
          </w:tcPr>
          <w:p w14:paraId="64CFA0FA" w14:textId="14C7DCD6" w:rsidR="008423E4" w:rsidRPr="00861995" w:rsidRDefault="003A76A9" w:rsidP="00B360C2">
            <w:pPr>
              <w:jc w:val="right"/>
            </w:pPr>
            <w:r>
              <w:t>Urban Affairs</w:t>
            </w:r>
          </w:p>
        </w:tc>
      </w:tr>
      <w:tr w:rsidR="00AD6FA3" w14:paraId="26D50311" w14:textId="77777777" w:rsidTr="00345119">
        <w:tc>
          <w:tcPr>
            <w:tcW w:w="9576" w:type="dxa"/>
          </w:tcPr>
          <w:p w14:paraId="44CDD0EE" w14:textId="0E1E6F78" w:rsidR="008423E4" w:rsidRDefault="003A76A9" w:rsidP="00B360C2">
            <w:pPr>
              <w:jc w:val="right"/>
            </w:pPr>
            <w:r>
              <w:t>Committee Report (Unamended)</w:t>
            </w:r>
          </w:p>
        </w:tc>
      </w:tr>
    </w:tbl>
    <w:p w14:paraId="54E37D63" w14:textId="77777777" w:rsidR="008423E4" w:rsidRDefault="008423E4" w:rsidP="00B360C2">
      <w:pPr>
        <w:tabs>
          <w:tab w:val="right" w:pos="9360"/>
        </w:tabs>
      </w:pPr>
    </w:p>
    <w:p w14:paraId="364E337B" w14:textId="77777777" w:rsidR="008423E4" w:rsidRDefault="008423E4" w:rsidP="00B360C2"/>
    <w:p w14:paraId="7119BA77" w14:textId="77777777" w:rsidR="008423E4" w:rsidRDefault="008423E4" w:rsidP="00B360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D6FA3" w14:paraId="283AD3DA" w14:textId="77777777" w:rsidTr="00345119">
        <w:tc>
          <w:tcPr>
            <w:tcW w:w="9576" w:type="dxa"/>
          </w:tcPr>
          <w:p w14:paraId="03135DB2" w14:textId="77777777" w:rsidR="008423E4" w:rsidRPr="00A8133F" w:rsidRDefault="003A76A9" w:rsidP="00B360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FE2FE3" w14:textId="77777777" w:rsidR="008423E4" w:rsidRDefault="008423E4" w:rsidP="00B360C2"/>
          <w:p w14:paraId="41BD8C2A" w14:textId="415123DC" w:rsidR="008423E4" w:rsidRDefault="003A76A9" w:rsidP="00B360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Under c</w:t>
            </w:r>
            <w:r w:rsidR="00975126" w:rsidRPr="00975126">
              <w:t>urrent</w:t>
            </w:r>
            <w:r>
              <w:t xml:space="preserve"> law</w:t>
            </w:r>
            <w:r w:rsidR="00975126" w:rsidRPr="00975126">
              <w:t xml:space="preserve">, property tax exemptions </w:t>
            </w:r>
            <w:r>
              <w:t xml:space="preserve">for </w:t>
            </w:r>
            <w:r w:rsidR="00975126" w:rsidRPr="00975126">
              <w:t xml:space="preserve">multifamily developments </w:t>
            </w:r>
            <w:r>
              <w:t xml:space="preserve">are allowed </w:t>
            </w:r>
            <w:r w:rsidR="00975126" w:rsidRPr="00975126">
              <w:t xml:space="preserve">without input from or notice to the local taxing entities. To receive the tax exemption, a private apartment developer transfers land to a </w:t>
            </w:r>
            <w:r>
              <w:t>p</w:t>
            </w:r>
            <w:r w:rsidR="00975126" w:rsidRPr="00975126">
              <w:t xml:space="preserve">ublic </w:t>
            </w:r>
            <w:r>
              <w:t>f</w:t>
            </w:r>
            <w:r w:rsidR="00975126" w:rsidRPr="00975126">
              <w:t xml:space="preserve">acility </w:t>
            </w:r>
            <w:r>
              <w:t>c</w:t>
            </w:r>
            <w:r w:rsidR="00975126" w:rsidRPr="00975126">
              <w:t xml:space="preserve">orporation, which then leases the land and any building on the land back to a limited partnership, controlled by the developer for 75 to 99 years. The developer </w:t>
            </w:r>
            <w:r w:rsidR="00FB7D07">
              <w:t xml:space="preserve">builds or </w:t>
            </w:r>
            <w:r w:rsidR="00975126" w:rsidRPr="00975126">
              <w:t>converts an apartment complex</w:t>
            </w:r>
            <w:r w:rsidR="001C36A0">
              <w:t xml:space="preserve">, </w:t>
            </w:r>
            <w:r w:rsidR="00975126" w:rsidRPr="00975126">
              <w:t>with 50</w:t>
            </w:r>
            <w:r w:rsidR="00736805">
              <w:t xml:space="preserve"> percent</w:t>
            </w:r>
            <w:r w:rsidR="00975126" w:rsidRPr="00975126">
              <w:t xml:space="preserve"> of units at or below market rate</w:t>
            </w:r>
            <w:r w:rsidR="001C36A0">
              <w:t>,</w:t>
            </w:r>
            <w:r w:rsidR="00975126" w:rsidRPr="00975126">
              <w:t xml:space="preserve"> and then no longer has to pay sales tax on any materials used for construction or renovation, nor property taxes on the entire development.</w:t>
            </w:r>
            <w:r w:rsidR="00975126">
              <w:t xml:space="preserve"> </w:t>
            </w:r>
            <w:r w:rsidR="001C36A0">
              <w:t>In some municipalities, these apartment complexes are being removed from the tax rolls at alarming rates</w:t>
            </w:r>
            <w:r w:rsidR="00FA3AA9">
              <w:t>. C</w:t>
            </w:r>
            <w:r w:rsidR="001C36A0">
              <w:t xml:space="preserve">oupled with </w:t>
            </w:r>
            <w:r w:rsidR="00FA3AA9">
              <w:t xml:space="preserve">a </w:t>
            </w:r>
            <w:r w:rsidR="001C36A0">
              <w:t>l</w:t>
            </w:r>
            <w:r w:rsidR="00975126" w:rsidRPr="00975126">
              <w:t xml:space="preserve">ack of transparency </w:t>
            </w:r>
            <w:r w:rsidR="001C36A0">
              <w:t xml:space="preserve">with </w:t>
            </w:r>
            <w:r w:rsidR="00975126" w:rsidRPr="00975126">
              <w:t xml:space="preserve">and input from </w:t>
            </w:r>
            <w:r w:rsidR="001C36A0">
              <w:t xml:space="preserve">the </w:t>
            </w:r>
            <w:r w:rsidR="00975126" w:rsidRPr="00975126">
              <w:t xml:space="preserve">impacted </w:t>
            </w:r>
            <w:r w:rsidR="001C36A0">
              <w:t>municipal</w:t>
            </w:r>
            <w:r w:rsidR="001C36A0" w:rsidRPr="00975126">
              <w:t xml:space="preserve"> </w:t>
            </w:r>
            <w:r w:rsidR="00975126" w:rsidRPr="00975126">
              <w:t xml:space="preserve">governing bodies and the expansion of the </w:t>
            </w:r>
            <w:r w:rsidR="001C36A0">
              <w:t>public facility corporation</w:t>
            </w:r>
            <w:r w:rsidR="00975126" w:rsidRPr="00975126">
              <w:t xml:space="preserve"> program in 2015, </w:t>
            </w:r>
            <w:r w:rsidR="001C36A0">
              <w:t>the result is</w:t>
            </w:r>
            <w:r w:rsidR="00975126" w:rsidRPr="00975126">
              <w:t xml:space="preserve"> unfunded mandates on local taxing entities and </w:t>
            </w:r>
            <w:r w:rsidR="001C36A0">
              <w:t xml:space="preserve">greater </w:t>
            </w:r>
            <w:r w:rsidR="00975126" w:rsidRPr="00975126">
              <w:t xml:space="preserve">costs </w:t>
            </w:r>
            <w:r w:rsidR="001C36A0">
              <w:t xml:space="preserve">to </w:t>
            </w:r>
            <w:r w:rsidR="00975126" w:rsidRPr="00975126">
              <w:t>taxpayers</w:t>
            </w:r>
            <w:r w:rsidR="001C36A0">
              <w:t>.</w:t>
            </w:r>
            <w:r w:rsidR="00975126" w:rsidRPr="00975126">
              <w:t xml:space="preserve"> H</w:t>
            </w:r>
            <w:r w:rsidR="001C36A0">
              <w:t>.</w:t>
            </w:r>
            <w:r w:rsidR="00975126" w:rsidRPr="00975126">
              <w:t>B</w:t>
            </w:r>
            <w:r w:rsidR="001C36A0">
              <w:t>.</w:t>
            </w:r>
            <w:r w:rsidR="00F02549">
              <w:t> </w:t>
            </w:r>
            <w:r w:rsidR="00975126" w:rsidRPr="00975126">
              <w:t xml:space="preserve">2966 </w:t>
            </w:r>
            <w:r w:rsidR="001C36A0">
              <w:t xml:space="preserve">seeks to address this issue by </w:t>
            </w:r>
            <w:r w:rsidR="00736805">
              <w:t xml:space="preserve">revising the eligibility requirements for the public facility corporation tax exemption. </w:t>
            </w:r>
          </w:p>
          <w:p w14:paraId="445FBF4D" w14:textId="569F8BA8" w:rsidR="00821682" w:rsidRPr="00E26B13" w:rsidRDefault="00821682" w:rsidP="00B360C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D6FA3" w14:paraId="5AEEA72D" w14:textId="77777777" w:rsidTr="00345119">
        <w:tc>
          <w:tcPr>
            <w:tcW w:w="9576" w:type="dxa"/>
          </w:tcPr>
          <w:p w14:paraId="73DE14BB" w14:textId="77777777" w:rsidR="0017725B" w:rsidRDefault="003A76A9" w:rsidP="00B360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CE2F2A" w14:textId="77777777" w:rsidR="0017725B" w:rsidRDefault="0017725B" w:rsidP="00B360C2">
            <w:pPr>
              <w:rPr>
                <w:b/>
                <w:u w:val="single"/>
              </w:rPr>
            </w:pPr>
          </w:p>
          <w:p w14:paraId="09DD53AA" w14:textId="0ADF54E9" w:rsidR="002821A9" w:rsidRPr="002821A9" w:rsidRDefault="003A76A9" w:rsidP="00B360C2">
            <w:pPr>
              <w:jc w:val="both"/>
            </w:pPr>
            <w:r>
              <w:t>It is the committee's opinion that this bill does not expressly create a criminal offense, increase the punishment for an existing criminal</w:t>
            </w:r>
            <w:r>
              <w:t xml:space="preserve"> offense or category of offenses, or change the eligibility of a person for community supervision, parole, or mandatory supervision.</w:t>
            </w:r>
          </w:p>
          <w:p w14:paraId="61A39096" w14:textId="77777777" w:rsidR="0017725B" w:rsidRPr="0017725B" w:rsidRDefault="0017725B" w:rsidP="00B360C2">
            <w:pPr>
              <w:rPr>
                <w:b/>
                <w:u w:val="single"/>
              </w:rPr>
            </w:pPr>
          </w:p>
        </w:tc>
      </w:tr>
      <w:tr w:rsidR="00AD6FA3" w14:paraId="52EC7237" w14:textId="77777777" w:rsidTr="00345119">
        <w:tc>
          <w:tcPr>
            <w:tcW w:w="9576" w:type="dxa"/>
          </w:tcPr>
          <w:p w14:paraId="10905DA4" w14:textId="77777777" w:rsidR="008423E4" w:rsidRPr="00A8133F" w:rsidRDefault="003A76A9" w:rsidP="00B360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D650C76" w14:textId="77777777" w:rsidR="008423E4" w:rsidRDefault="008423E4" w:rsidP="00B360C2"/>
          <w:p w14:paraId="37A18FA2" w14:textId="4C100AD9" w:rsidR="002821A9" w:rsidRDefault="003A76A9" w:rsidP="00B360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</w:t>
            </w:r>
            <w:r>
              <w:t>thority to a state officer, department, agency, or institution.</w:t>
            </w:r>
          </w:p>
          <w:p w14:paraId="0A46A31E" w14:textId="77777777" w:rsidR="008423E4" w:rsidRPr="00E21FDC" w:rsidRDefault="008423E4" w:rsidP="00B360C2">
            <w:pPr>
              <w:rPr>
                <w:b/>
              </w:rPr>
            </w:pPr>
          </w:p>
        </w:tc>
      </w:tr>
      <w:tr w:rsidR="00AD6FA3" w14:paraId="1DFED9D8" w14:textId="77777777" w:rsidTr="00345119">
        <w:tc>
          <w:tcPr>
            <w:tcW w:w="9576" w:type="dxa"/>
          </w:tcPr>
          <w:p w14:paraId="53E68A49" w14:textId="77777777" w:rsidR="008423E4" w:rsidRPr="00A8133F" w:rsidRDefault="003A76A9" w:rsidP="00B360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53F859" w14:textId="77777777" w:rsidR="008423E4" w:rsidRDefault="008423E4" w:rsidP="00B360C2"/>
          <w:p w14:paraId="54DDA5A6" w14:textId="179E7C00" w:rsidR="0098566A" w:rsidRDefault="003A76A9" w:rsidP="00B360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2966 amends the Local Government Code to revise</w:t>
            </w:r>
            <w:r w:rsidR="003D3241">
              <w:t xml:space="preserve"> and establish requirements </w:t>
            </w:r>
            <w:r w:rsidR="00096280">
              <w:t xml:space="preserve">that must be satisfied </w:t>
            </w:r>
            <w:r w:rsidR="003D3241">
              <w:t xml:space="preserve">for </w:t>
            </w:r>
            <w:r w:rsidR="007671BA" w:rsidRPr="007671BA">
              <w:t xml:space="preserve">a </w:t>
            </w:r>
            <w:r>
              <w:t>multifamily residential development</w:t>
            </w:r>
            <w:r w:rsidR="000772C9">
              <w:t xml:space="preserve"> </w:t>
            </w:r>
            <w:r w:rsidR="00FA3AA9">
              <w:t xml:space="preserve">that is </w:t>
            </w:r>
            <w:r w:rsidR="000772C9" w:rsidRPr="000772C9">
              <w:t>owned by a public facility corporation</w:t>
            </w:r>
            <w:r w:rsidR="000772C9">
              <w:t xml:space="preserve"> </w:t>
            </w:r>
            <w:r w:rsidR="00FA3AA9">
              <w:t xml:space="preserve">and that does not have at least 20 percent of its units reserved for public housing units </w:t>
            </w:r>
            <w:r w:rsidR="004863B0">
              <w:t>to be eligible for the public facility corporation tax exemption, as follows:</w:t>
            </w:r>
          </w:p>
          <w:p w14:paraId="188EC15C" w14:textId="03CBBE5C" w:rsidR="0098566A" w:rsidRDefault="003A76A9" w:rsidP="00B360C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makes the </w:t>
            </w:r>
            <w:r w:rsidR="00096280">
              <w:t xml:space="preserve">existing </w:t>
            </w:r>
            <w:r>
              <w:t xml:space="preserve">requirements </w:t>
            </w:r>
            <w:r w:rsidR="00096280">
              <w:t>for</w:t>
            </w:r>
            <w:r>
              <w:t xml:space="preserve"> </w:t>
            </w:r>
            <w:r w:rsidRPr="00A258EF">
              <w:t xml:space="preserve">a </w:t>
            </w:r>
            <w:r w:rsidR="00096280">
              <w:t xml:space="preserve">multifamily residential </w:t>
            </w:r>
            <w:r w:rsidRPr="00A258EF">
              <w:t xml:space="preserve">development </w:t>
            </w:r>
            <w:r>
              <w:t xml:space="preserve">owned </w:t>
            </w:r>
            <w:r w:rsidRPr="00A258EF">
              <w:t xml:space="preserve">by a </w:t>
            </w:r>
            <w:r>
              <w:t xml:space="preserve">public facility </w:t>
            </w:r>
            <w:r w:rsidRPr="00A258EF">
              <w:t>corporation</w:t>
            </w:r>
            <w:r>
              <w:t xml:space="preserve"> created by a housing authority, which include a public hearing requirement and a requirement to reserve a certain percentage of units for occupancy by individuals and families earni</w:t>
            </w:r>
            <w:r>
              <w:t>ng less than 80 percent of the area median family income (AMFI),</w:t>
            </w:r>
            <w:r w:rsidR="003D3241">
              <w:t xml:space="preserve"> </w:t>
            </w:r>
            <w:r>
              <w:t>applicable to all multifamily residential developments</w:t>
            </w:r>
            <w:r w:rsidR="008B0E11">
              <w:t xml:space="preserve"> owned by a public facility corporation</w:t>
            </w:r>
            <w:r>
              <w:t>, regardless of the sponsor type</w:t>
            </w:r>
            <w:r w:rsidR="002821A9">
              <w:t xml:space="preserve">; </w:t>
            </w:r>
          </w:p>
          <w:p w14:paraId="19B61B15" w14:textId="4EF92FA6" w:rsidR="007671BA" w:rsidRDefault="003A76A9" w:rsidP="00B360C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raises</w:t>
            </w:r>
            <w:r w:rsidR="009E6297">
              <w:t xml:space="preserve"> from 50 percent to 75 percent </w:t>
            </w:r>
            <w:r w:rsidR="0098566A">
              <w:t xml:space="preserve">the </w:t>
            </w:r>
            <w:r w:rsidR="003D3241">
              <w:t xml:space="preserve">minimum percentage </w:t>
            </w:r>
            <w:r w:rsidR="0098566A">
              <w:t xml:space="preserve">of units in the development that are reserved for occupancy by individuals and families earning less than 80 percent of </w:t>
            </w:r>
            <w:r w:rsidR="003D3241">
              <w:t xml:space="preserve">AMFI and provides for an </w:t>
            </w:r>
            <w:r w:rsidR="0098566A">
              <w:t>adjust</w:t>
            </w:r>
            <w:r w:rsidR="003D3241">
              <w:t>ment</w:t>
            </w:r>
            <w:r w:rsidR="0098566A">
              <w:t xml:space="preserve"> for family size</w:t>
            </w:r>
            <w:r w:rsidR="002821A9">
              <w:t xml:space="preserve">; and </w:t>
            </w:r>
          </w:p>
          <w:p w14:paraId="199D8087" w14:textId="4B0FF739" w:rsidR="00A573F2" w:rsidRDefault="003A76A9" w:rsidP="00B360C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Pr="00A573F2">
              <w:t xml:space="preserve">the </w:t>
            </w:r>
            <w:r>
              <w:t xml:space="preserve">owning </w:t>
            </w:r>
            <w:r w:rsidRPr="00A573F2">
              <w:t>corporation</w:t>
            </w:r>
            <w:r>
              <w:t>,</w:t>
            </w:r>
            <w:r w:rsidRPr="00A573F2">
              <w:t xml:space="preserve"> not later than April 1 of each year</w:t>
            </w:r>
            <w:r>
              <w:t>,</w:t>
            </w:r>
            <w:r w:rsidRPr="00A573F2">
              <w:t xml:space="preserve"> </w:t>
            </w:r>
            <w:r>
              <w:t xml:space="preserve">to </w:t>
            </w:r>
            <w:r w:rsidRPr="00A573F2">
              <w:t>submit t</w:t>
            </w:r>
            <w:r w:rsidRPr="00A573F2">
              <w:t xml:space="preserve">o the chief appraiser of the appraisal district in which the development is located an audit report for a compliance audit conducted by an independent auditor or compliance expert that establishes that the development is in compliance with the </w:t>
            </w:r>
            <w:r>
              <w:t>tax exemptio</w:t>
            </w:r>
            <w:r>
              <w:t xml:space="preserve">n </w:t>
            </w:r>
            <w:r w:rsidRPr="00A573F2">
              <w:t>requirements</w:t>
            </w:r>
            <w:r w:rsidR="002821A9">
              <w:t>.</w:t>
            </w:r>
          </w:p>
          <w:p w14:paraId="191C70C6" w14:textId="77777777" w:rsidR="009E6297" w:rsidRDefault="009E6297" w:rsidP="00B360C2">
            <w:pPr>
              <w:pStyle w:val="Header"/>
              <w:jc w:val="both"/>
            </w:pPr>
          </w:p>
          <w:p w14:paraId="1FE8E9FD" w14:textId="1D14464C" w:rsidR="002821A9" w:rsidRPr="009C36CD" w:rsidRDefault="003A76A9" w:rsidP="00B360C2">
            <w:pPr>
              <w:pStyle w:val="Header"/>
              <w:jc w:val="both"/>
            </w:pPr>
            <w:r>
              <w:t xml:space="preserve">H.B. 2966 establishes that an exemption does not apply for a tax year in which </w:t>
            </w:r>
            <w:r w:rsidR="008B0E11">
              <w:t>the</w:t>
            </w:r>
            <w:r>
              <w:t xml:space="preserve"> development submits a required audit report that does not establish the development</w:t>
            </w:r>
            <w:r w:rsidR="008B0E11">
              <w:t>'</w:t>
            </w:r>
            <w:r>
              <w:t xml:space="preserve">s compliance with the requirements or in which the development does not </w:t>
            </w:r>
            <w:r>
              <w:t xml:space="preserve">submit the required audit report. The bill applies only to a multifamily residential development that is approved on or after the bill's effective date. </w:t>
            </w:r>
          </w:p>
          <w:p w14:paraId="5BDF3B9D" w14:textId="77777777" w:rsidR="008423E4" w:rsidRPr="00835628" w:rsidRDefault="008423E4" w:rsidP="00B360C2">
            <w:pPr>
              <w:rPr>
                <w:b/>
              </w:rPr>
            </w:pPr>
          </w:p>
        </w:tc>
      </w:tr>
      <w:tr w:rsidR="00AD6FA3" w14:paraId="0A4BA9F1" w14:textId="77777777" w:rsidTr="00345119">
        <w:tc>
          <w:tcPr>
            <w:tcW w:w="9576" w:type="dxa"/>
          </w:tcPr>
          <w:p w14:paraId="54F7E4D8" w14:textId="77777777" w:rsidR="008423E4" w:rsidRPr="00A8133F" w:rsidRDefault="003A76A9" w:rsidP="00B360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132735" w14:textId="77777777" w:rsidR="008423E4" w:rsidRDefault="008423E4" w:rsidP="00B360C2"/>
          <w:p w14:paraId="008F08A7" w14:textId="35353E30" w:rsidR="008423E4" w:rsidRPr="00821682" w:rsidRDefault="003A76A9" w:rsidP="00B360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41223D0E" w14:textId="77777777" w:rsidR="004108C3" w:rsidRPr="008423E4" w:rsidRDefault="004108C3" w:rsidP="00B360C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295D" w14:textId="77777777" w:rsidR="00000000" w:rsidRDefault="003A76A9">
      <w:r>
        <w:separator/>
      </w:r>
    </w:p>
  </w:endnote>
  <w:endnote w:type="continuationSeparator" w:id="0">
    <w:p w14:paraId="3963403A" w14:textId="77777777" w:rsidR="00000000" w:rsidRDefault="003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8FB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D6FA3" w14:paraId="3BAB0C9D" w14:textId="77777777" w:rsidTr="009C1E9A">
      <w:trPr>
        <w:cantSplit/>
      </w:trPr>
      <w:tc>
        <w:tcPr>
          <w:tcW w:w="0" w:type="pct"/>
        </w:tcPr>
        <w:p w14:paraId="447E20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A6F6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4FAF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1003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6069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6FA3" w14:paraId="70E4298A" w14:textId="77777777" w:rsidTr="009C1E9A">
      <w:trPr>
        <w:cantSplit/>
      </w:trPr>
      <w:tc>
        <w:tcPr>
          <w:tcW w:w="0" w:type="pct"/>
        </w:tcPr>
        <w:p w14:paraId="2C0FA4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1ED977" w14:textId="196A444E" w:rsidR="00EC379B" w:rsidRPr="009C1E9A" w:rsidRDefault="003A76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28729-D</w:t>
          </w:r>
        </w:p>
      </w:tc>
      <w:tc>
        <w:tcPr>
          <w:tcW w:w="2453" w:type="pct"/>
        </w:tcPr>
        <w:p w14:paraId="0D898C9D" w14:textId="4545D46B" w:rsidR="00EC379B" w:rsidRDefault="003A76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16BE9">
            <w:t>23.125.161</w:t>
          </w:r>
          <w:r>
            <w:fldChar w:fldCharType="end"/>
          </w:r>
        </w:p>
      </w:tc>
    </w:tr>
    <w:tr w:rsidR="00AD6FA3" w14:paraId="34D3CC69" w14:textId="77777777" w:rsidTr="009C1E9A">
      <w:trPr>
        <w:cantSplit/>
      </w:trPr>
      <w:tc>
        <w:tcPr>
          <w:tcW w:w="0" w:type="pct"/>
        </w:tcPr>
        <w:p w14:paraId="7C1A906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2300F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E897B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11F4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6FA3" w14:paraId="73DF224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55A28D" w14:textId="77777777" w:rsidR="00EC379B" w:rsidRDefault="003A76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49BC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320B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055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3250" w14:textId="77777777" w:rsidR="00000000" w:rsidRDefault="003A76A9">
      <w:r>
        <w:separator/>
      </w:r>
    </w:p>
  </w:footnote>
  <w:footnote w:type="continuationSeparator" w:id="0">
    <w:p w14:paraId="19082CD5" w14:textId="77777777" w:rsidR="00000000" w:rsidRDefault="003A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798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FEF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B45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381A"/>
    <w:multiLevelType w:val="hybridMultilevel"/>
    <w:tmpl w:val="FD90275E"/>
    <w:lvl w:ilvl="0" w:tplc="B4C6B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C2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E4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C4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4E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60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6A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87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43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7E32"/>
    <w:multiLevelType w:val="hybridMultilevel"/>
    <w:tmpl w:val="0BBECAA6"/>
    <w:lvl w:ilvl="0" w:tplc="43428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81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44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A7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03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2B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03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80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3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C83"/>
    <w:rsid w:val="0004512B"/>
    <w:rsid w:val="000463F0"/>
    <w:rsid w:val="00046BDA"/>
    <w:rsid w:val="0004762E"/>
    <w:rsid w:val="00050722"/>
    <w:rsid w:val="000532BD"/>
    <w:rsid w:val="000555E0"/>
    <w:rsid w:val="00055C12"/>
    <w:rsid w:val="000608B0"/>
    <w:rsid w:val="0006104C"/>
    <w:rsid w:val="00064BF2"/>
    <w:rsid w:val="000667BA"/>
    <w:rsid w:val="000676A7"/>
    <w:rsid w:val="000736C4"/>
    <w:rsid w:val="00073914"/>
    <w:rsid w:val="00074236"/>
    <w:rsid w:val="000746BD"/>
    <w:rsid w:val="00076D7D"/>
    <w:rsid w:val="000772C9"/>
    <w:rsid w:val="00080D95"/>
    <w:rsid w:val="0008633A"/>
    <w:rsid w:val="00090E6B"/>
    <w:rsid w:val="00091B2C"/>
    <w:rsid w:val="00092ABC"/>
    <w:rsid w:val="0009628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43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217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3F7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6A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D46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DB9"/>
    <w:rsid w:val="00277434"/>
    <w:rsid w:val="00280123"/>
    <w:rsid w:val="00281343"/>
    <w:rsid w:val="00281883"/>
    <w:rsid w:val="002821A9"/>
    <w:rsid w:val="002874E3"/>
    <w:rsid w:val="00287656"/>
    <w:rsid w:val="00291518"/>
    <w:rsid w:val="00296FF0"/>
    <w:rsid w:val="00297A1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C4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38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6A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41A"/>
    <w:rsid w:val="003D324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6D6"/>
    <w:rsid w:val="004824A7"/>
    <w:rsid w:val="00483AF0"/>
    <w:rsid w:val="00484167"/>
    <w:rsid w:val="004863B0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101"/>
    <w:rsid w:val="004C302F"/>
    <w:rsid w:val="004C4609"/>
    <w:rsid w:val="004C4B8A"/>
    <w:rsid w:val="004C52EF"/>
    <w:rsid w:val="004C5F34"/>
    <w:rsid w:val="004C600C"/>
    <w:rsid w:val="004C6F44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6A8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FEF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80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1BA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68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B37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3F4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0E11"/>
    <w:rsid w:val="008B2B1A"/>
    <w:rsid w:val="008B3428"/>
    <w:rsid w:val="008B4A91"/>
    <w:rsid w:val="008B602A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E34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126"/>
    <w:rsid w:val="00976837"/>
    <w:rsid w:val="00980311"/>
    <w:rsid w:val="0098170E"/>
    <w:rsid w:val="0098285C"/>
    <w:rsid w:val="00983B56"/>
    <w:rsid w:val="009847FD"/>
    <w:rsid w:val="009851B3"/>
    <w:rsid w:val="00985300"/>
    <w:rsid w:val="0098566A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297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8EF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3F2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FA3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0C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1F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BE9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700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3D99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549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AA9"/>
    <w:rsid w:val="00FA59FD"/>
    <w:rsid w:val="00FA5D8C"/>
    <w:rsid w:val="00FA6403"/>
    <w:rsid w:val="00FB16CD"/>
    <w:rsid w:val="00FB73AE"/>
    <w:rsid w:val="00FB7D07"/>
    <w:rsid w:val="00FC5388"/>
    <w:rsid w:val="00FC726C"/>
    <w:rsid w:val="00FC7A78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121274-99FB-4356-9935-9515BC6D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21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2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21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1A9"/>
    <w:rPr>
      <w:b/>
      <w:bCs/>
    </w:rPr>
  </w:style>
  <w:style w:type="paragraph" w:styleId="Revision">
    <w:name w:val="Revision"/>
    <w:hidden/>
    <w:uiPriority w:val="99"/>
    <w:semiHidden/>
    <w:rsid w:val="006C36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3019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HB02966 (Committee Report (Unamended))</vt:lpstr>
    </vt:vector>
  </TitlesOfParts>
  <Company>State of Texas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28729</dc:subject>
  <dc:creator>State of Texas</dc:creator>
  <dc:description>HB 2966 by Noble-(H)Urban Affairs</dc:description>
  <cp:lastModifiedBy>Matthew Lee</cp:lastModifiedBy>
  <cp:revision>2</cp:revision>
  <cp:lastPrinted>2003-11-26T17:21:00Z</cp:lastPrinted>
  <dcterms:created xsi:type="dcterms:W3CDTF">2023-05-05T23:52:00Z</dcterms:created>
  <dcterms:modified xsi:type="dcterms:W3CDTF">2023-05-05T23:52:00Z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23.125.161</vt:lpwstr>
  </property>
</Properties>
</file>