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B423D" w14:paraId="4D9BFE95" w14:textId="77777777" w:rsidTr="00345119">
        <w:tc>
          <w:tcPr>
            <w:tcW w:w="9576" w:type="dxa"/>
            <w:noWrap/>
          </w:tcPr>
          <w:p w14:paraId="06001E6D" w14:textId="77777777" w:rsidR="008423E4" w:rsidRPr="0022177D" w:rsidRDefault="00303CA1" w:rsidP="0001535B">
            <w:pPr>
              <w:pStyle w:val="Heading1"/>
            </w:pPr>
            <w:r w:rsidRPr="00631897">
              <w:t>BILL ANALYSIS</w:t>
            </w:r>
          </w:p>
        </w:tc>
      </w:tr>
    </w:tbl>
    <w:p w14:paraId="748282CD" w14:textId="77777777" w:rsidR="008423E4" w:rsidRPr="0022177D" w:rsidRDefault="008423E4" w:rsidP="0001535B">
      <w:pPr>
        <w:jc w:val="center"/>
      </w:pPr>
    </w:p>
    <w:p w14:paraId="4DE0E929" w14:textId="77777777" w:rsidR="008423E4" w:rsidRPr="00B31F0E" w:rsidRDefault="008423E4" w:rsidP="0001535B"/>
    <w:p w14:paraId="485D98F2" w14:textId="77777777" w:rsidR="008423E4" w:rsidRPr="00742794" w:rsidRDefault="008423E4" w:rsidP="000153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B423D" w14:paraId="16E4573B" w14:textId="77777777" w:rsidTr="00345119">
        <w:tc>
          <w:tcPr>
            <w:tcW w:w="9576" w:type="dxa"/>
          </w:tcPr>
          <w:p w14:paraId="49C14797" w14:textId="30B27CAA" w:rsidR="008423E4" w:rsidRPr="00861995" w:rsidRDefault="00303CA1" w:rsidP="0001535B">
            <w:pPr>
              <w:jc w:val="right"/>
            </w:pPr>
            <w:r>
              <w:t>H.B. 3009</w:t>
            </w:r>
          </w:p>
        </w:tc>
      </w:tr>
      <w:tr w:rsidR="000B423D" w14:paraId="1CAE7A0D" w14:textId="77777777" w:rsidTr="00345119">
        <w:tc>
          <w:tcPr>
            <w:tcW w:w="9576" w:type="dxa"/>
          </w:tcPr>
          <w:p w14:paraId="50F33113" w14:textId="3F971858" w:rsidR="008423E4" w:rsidRPr="00861995" w:rsidRDefault="00303CA1" w:rsidP="0001535B">
            <w:pPr>
              <w:jc w:val="right"/>
            </w:pPr>
            <w:r>
              <w:t xml:space="preserve">By: </w:t>
            </w:r>
            <w:r w:rsidR="000D4845">
              <w:t>VanDeaver</w:t>
            </w:r>
          </w:p>
        </w:tc>
      </w:tr>
      <w:tr w:rsidR="000B423D" w14:paraId="7700AF5C" w14:textId="77777777" w:rsidTr="00345119">
        <w:tc>
          <w:tcPr>
            <w:tcW w:w="9576" w:type="dxa"/>
          </w:tcPr>
          <w:p w14:paraId="6C8CF786" w14:textId="5B469CCA" w:rsidR="008423E4" w:rsidRPr="00861995" w:rsidRDefault="00303CA1" w:rsidP="0001535B">
            <w:pPr>
              <w:jc w:val="right"/>
            </w:pPr>
            <w:r>
              <w:t>Judiciary &amp; Civil Jurisprudence</w:t>
            </w:r>
          </w:p>
        </w:tc>
      </w:tr>
      <w:tr w:rsidR="000B423D" w14:paraId="6F32FAB7" w14:textId="77777777" w:rsidTr="00345119">
        <w:tc>
          <w:tcPr>
            <w:tcW w:w="9576" w:type="dxa"/>
          </w:tcPr>
          <w:p w14:paraId="70545AF9" w14:textId="2204658E" w:rsidR="008423E4" w:rsidRDefault="00303CA1" w:rsidP="0001535B">
            <w:pPr>
              <w:jc w:val="right"/>
            </w:pPr>
            <w:r>
              <w:t>Committee Report (Unamended)</w:t>
            </w:r>
          </w:p>
        </w:tc>
      </w:tr>
    </w:tbl>
    <w:p w14:paraId="11C92CDA" w14:textId="77777777" w:rsidR="008423E4" w:rsidRDefault="008423E4" w:rsidP="0001535B">
      <w:pPr>
        <w:tabs>
          <w:tab w:val="right" w:pos="9360"/>
        </w:tabs>
      </w:pPr>
    </w:p>
    <w:p w14:paraId="6DCA7019" w14:textId="77777777" w:rsidR="008423E4" w:rsidRDefault="008423E4" w:rsidP="0001535B"/>
    <w:p w14:paraId="0A3B652C" w14:textId="77777777" w:rsidR="008423E4" w:rsidRDefault="008423E4" w:rsidP="000153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B423D" w14:paraId="7ACC4F37" w14:textId="77777777" w:rsidTr="00345119">
        <w:tc>
          <w:tcPr>
            <w:tcW w:w="9576" w:type="dxa"/>
          </w:tcPr>
          <w:p w14:paraId="23A506A7" w14:textId="77777777" w:rsidR="008423E4" w:rsidRPr="00A8133F" w:rsidRDefault="00303CA1" w:rsidP="000153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FCFAF4" w14:textId="77777777" w:rsidR="008423E4" w:rsidRDefault="008423E4" w:rsidP="0001535B"/>
          <w:p w14:paraId="5DB60BAC" w14:textId="733720CF" w:rsidR="00A1294E" w:rsidRDefault="00303CA1" w:rsidP="00015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Guardianship proceedings are often necessary to protect individuals from abuse, neglect, or fraud, as well as</w:t>
            </w:r>
            <w:r w:rsidR="000B4BEC">
              <w:t xml:space="preserve"> to</w:t>
            </w:r>
            <w:r>
              <w:t xml:space="preserve"> ensure their timely access to medical care and treatment</w:t>
            </w:r>
            <w:r w:rsidR="000B4BEC">
              <w:t xml:space="preserve">. </w:t>
            </w:r>
            <w:r>
              <w:t>The medical condition and mental state of a proposed ward must be considered by the court in a guardianship proceeding. An initial "gatekeeping" function for this process is the requirement for a p</w:t>
            </w:r>
            <w:r>
              <w:t>hysician to complete a physician's certificate of evaluation for the proposed ward. Under current Texas law, only a licensed physician, even one who has no prior history with a proposed ward, can complete the required letter or certificate setting forth th</w:t>
            </w:r>
            <w:r>
              <w:t xml:space="preserve">e proposed ward's health and mental condition. </w:t>
            </w:r>
            <w:r w:rsidR="000B4BEC">
              <w:t>However, a</w:t>
            </w:r>
            <w:r w:rsidRPr="00A1294E">
              <w:t>n increasing number of individuals rely on advanced practice registered nurses (APRNs) or nurse practitioners as health care provider</w:t>
            </w:r>
            <w:r>
              <w:t>s. So, often</w:t>
            </w:r>
            <w:r w:rsidRPr="00A1294E">
              <w:t xml:space="preserve"> APRNs are most familiar with an individual's mental a</w:t>
            </w:r>
            <w:r w:rsidRPr="00A1294E">
              <w:t>nd health condition.</w:t>
            </w:r>
            <w:r>
              <w:t xml:space="preserve"> </w:t>
            </w:r>
            <w:r w:rsidR="000B4BEC">
              <w:t>H.B.</w:t>
            </w:r>
            <w:r w:rsidR="009A6877">
              <w:t> </w:t>
            </w:r>
            <w:r w:rsidR="000B4BEC">
              <w:t>3009 seeks to address this issue by p</w:t>
            </w:r>
            <w:r w:rsidRPr="00A1294E">
              <w:t>ermitting judges to consider a letter or certificate from a</w:t>
            </w:r>
            <w:r w:rsidR="00D35690">
              <w:t>n</w:t>
            </w:r>
            <w:r w:rsidRPr="00A1294E">
              <w:t xml:space="preserve"> APRN or nurse practitioner </w:t>
            </w:r>
            <w:r w:rsidR="000B4BEC">
              <w:t xml:space="preserve">which </w:t>
            </w:r>
            <w:r w:rsidRPr="00A1294E">
              <w:t xml:space="preserve">will give </w:t>
            </w:r>
            <w:r w:rsidR="000B4BEC">
              <w:t xml:space="preserve">the </w:t>
            </w:r>
            <w:r w:rsidRPr="00A1294E">
              <w:t xml:space="preserve">judge better information </w:t>
            </w:r>
            <w:r w:rsidR="000B4BEC">
              <w:t xml:space="preserve">on which </w:t>
            </w:r>
            <w:r w:rsidRPr="00A1294E">
              <w:t xml:space="preserve">to base a </w:t>
            </w:r>
            <w:r w:rsidR="000B4BEC">
              <w:t xml:space="preserve">guardianship </w:t>
            </w:r>
            <w:r w:rsidRPr="00A1294E">
              <w:t>decision,</w:t>
            </w:r>
            <w:r w:rsidR="000B4BEC">
              <w:t xml:space="preserve"> thus</w:t>
            </w:r>
            <w:r w:rsidRPr="00A1294E">
              <w:t xml:space="preserve"> ensur</w:t>
            </w:r>
            <w:r w:rsidR="000B4BEC">
              <w:t>ing</w:t>
            </w:r>
            <w:r w:rsidRPr="00A1294E">
              <w:t xml:space="preserve"> judg</w:t>
            </w:r>
            <w:r w:rsidRPr="00A1294E">
              <w:t>es continue to make timely and well-informed determinations in guardianship proceedings.</w:t>
            </w:r>
          </w:p>
          <w:p w14:paraId="4B6EF57B" w14:textId="77777777" w:rsidR="008423E4" w:rsidRPr="00E26B13" w:rsidRDefault="008423E4" w:rsidP="0001535B">
            <w:pPr>
              <w:rPr>
                <w:b/>
              </w:rPr>
            </w:pPr>
          </w:p>
        </w:tc>
      </w:tr>
      <w:tr w:rsidR="000B423D" w14:paraId="1682EB5B" w14:textId="77777777" w:rsidTr="00345119">
        <w:tc>
          <w:tcPr>
            <w:tcW w:w="9576" w:type="dxa"/>
          </w:tcPr>
          <w:p w14:paraId="0B07E187" w14:textId="77777777" w:rsidR="0017725B" w:rsidRDefault="00303CA1" w:rsidP="000153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863A4ED" w14:textId="77777777" w:rsidR="0017725B" w:rsidRDefault="0017725B" w:rsidP="0001535B">
            <w:pPr>
              <w:rPr>
                <w:b/>
                <w:u w:val="single"/>
              </w:rPr>
            </w:pPr>
          </w:p>
          <w:p w14:paraId="31BAEA5F" w14:textId="77777777" w:rsidR="00427037" w:rsidRPr="00427037" w:rsidRDefault="00303CA1" w:rsidP="0001535B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6ABE02EB" w14:textId="77777777" w:rsidR="0017725B" w:rsidRPr="0017725B" w:rsidRDefault="0017725B" w:rsidP="0001535B">
            <w:pPr>
              <w:rPr>
                <w:b/>
                <w:u w:val="single"/>
              </w:rPr>
            </w:pPr>
          </w:p>
        </w:tc>
      </w:tr>
      <w:tr w:rsidR="000B423D" w14:paraId="69BFDCDC" w14:textId="77777777" w:rsidTr="00345119">
        <w:tc>
          <w:tcPr>
            <w:tcW w:w="9576" w:type="dxa"/>
          </w:tcPr>
          <w:p w14:paraId="378BD0CF" w14:textId="77777777" w:rsidR="008423E4" w:rsidRPr="00A8133F" w:rsidRDefault="00303CA1" w:rsidP="0001535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9D66B5F" w14:textId="77777777" w:rsidR="008423E4" w:rsidRDefault="008423E4" w:rsidP="0001535B"/>
          <w:p w14:paraId="01E1CAA5" w14:textId="77777777" w:rsidR="00427037" w:rsidRDefault="00303CA1" w:rsidP="00015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4E27D915" w14:textId="77777777" w:rsidR="008423E4" w:rsidRPr="00E21FDC" w:rsidRDefault="008423E4" w:rsidP="0001535B">
            <w:pPr>
              <w:rPr>
                <w:b/>
              </w:rPr>
            </w:pPr>
          </w:p>
        </w:tc>
      </w:tr>
      <w:tr w:rsidR="000B423D" w14:paraId="0D46A04B" w14:textId="77777777" w:rsidTr="00345119">
        <w:tc>
          <w:tcPr>
            <w:tcW w:w="9576" w:type="dxa"/>
          </w:tcPr>
          <w:p w14:paraId="0088D9CA" w14:textId="77777777" w:rsidR="008423E4" w:rsidRPr="00A8133F" w:rsidRDefault="00303CA1" w:rsidP="000153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17C325" w14:textId="0AB41138" w:rsidR="008423E4" w:rsidRDefault="00303CA1" w:rsidP="0001535B">
            <w:r>
              <w:t xml:space="preserve">   </w:t>
            </w:r>
          </w:p>
          <w:p w14:paraId="33A63517" w14:textId="072781CD" w:rsidR="00A146B9" w:rsidRDefault="00303CA1" w:rsidP="00015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</w:t>
            </w:r>
            <w:r w:rsidR="002E783C">
              <w:t>009</w:t>
            </w:r>
            <w:r>
              <w:t xml:space="preserve"> amends the Estates Code to authorize a</w:t>
            </w:r>
            <w:r w:rsidR="0070507F">
              <w:t xml:space="preserve"> licensed</w:t>
            </w:r>
            <w:r>
              <w:t xml:space="preserve"> </w:t>
            </w:r>
            <w:r w:rsidRPr="00CA4558">
              <w:t>advanced practice registered nurse</w:t>
            </w:r>
            <w:r w:rsidR="003E15FA">
              <w:t xml:space="preserve"> who is</w:t>
            </w:r>
            <w:r w:rsidR="0070507F">
              <w:t xml:space="preserve"> </w:t>
            </w:r>
            <w:r w:rsidR="0070507F" w:rsidRPr="0070507F">
              <w:t>actin</w:t>
            </w:r>
            <w:r w:rsidR="005A4871">
              <w:t>g under a physician's delegat</w:t>
            </w:r>
            <w:r w:rsidR="00BC1E3F">
              <w:t>ion</w:t>
            </w:r>
            <w:r w:rsidR="0070507F" w:rsidRPr="0070507F">
              <w:t xml:space="preserve"> authority and supervision</w:t>
            </w:r>
            <w:r w:rsidR="009979DE">
              <w:t xml:space="preserve"> to </w:t>
            </w:r>
            <w:r w:rsidR="00082630">
              <w:t xml:space="preserve">perform </w:t>
            </w:r>
            <w:r w:rsidR="009979DE">
              <w:t xml:space="preserve">an examination of a </w:t>
            </w:r>
            <w:r w:rsidR="00C35E5E">
              <w:t xml:space="preserve">ward or </w:t>
            </w:r>
            <w:r w:rsidR="009979DE">
              <w:t xml:space="preserve">proposed ward </w:t>
            </w:r>
            <w:r w:rsidR="00C35E5E">
              <w:t xml:space="preserve">in relation to a guardianship proceeding </w:t>
            </w:r>
            <w:r w:rsidR="009979DE">
              <w:t>for the following purposes:</w:t>
            </w:r>
            <w:r>
              <w:t xml:space="preserve"> </w:t>
            </w:r>
          </w:p>
          <w:p w14:paraId="7AAE93A9" w14:textId="4B2EBDC9" w:rsidR="00C35E5E" w:rsidRDefault="00303CA1" w:rsidP="0001535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establishing probable cause for a court-initiated investigation regarding incapacity and necessity of guar</w:t>
            </w:r>
            <w:r>
              <w:t>dianship;</w:t>
            </w:r>
          </w:p>
          <w:p w14:paraId="6A13D66C" w14:textId="2B7E4434" w:rsidR="009979DE" w:rsidRDefault="00303CA1" w:rsidP="0001535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determining a proposed ward's incapacity;</w:t>
            </w:r>
          </w:p>
          <w:p w14:paraId="20136D14" w14:textId="19A69F4D" w:rsidR="00C35E5E" w:rsidRDefault="00303CA1" w:rsidP="0001535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determining </w:t>
            </w:r>
            <w:r w:rsidR="00082630">
              <w:t>intellectual disability; and</w:t>
            </w:r>
          </w:p>
          <w:p w14:paraId="5EA7EE99" w14:textId="3E454693" w:rsidR="00BC3485" w:rsidRDefault="00303CA1" w:rsidP="0001535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determining a ward's incapacity for purposes of an order restoring the ward's capacity or modification of the guardianship. </w:t>
            </w:r>
          </w:p>
          <w:p w14:paraId="02B15756" w14:textId="77777777" w:rsidR="0008250A" w:rsidRDefault="0008250A" w:rsidP="0001535B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</w:pPr>
          </w:p>
          <w:p w14:paraId="0A1CC8B0" w14:textId="0596FC6B" w:rsidR="00BC3485" w:rsidRDefault="00303CA1" w:rsidP="00015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3009</w:t>
            </w:r>
            <w:r w:rsidR="00837A5D">
              <w:t xml:space="preserve"> establishes that </w:t>
            </w:r>
            <w:r w:rsidR="00837A5D" w:rsidRPr="00837A5D">
              <w:t xml:space="preserve">the </w:t>
            </w:r>
            <w:r>
              <w:t>determ</w:t>
            </w:r>
            <w:r>
              <w:t xml:space="preserve">ination or </w:t>
            </w:r>
            <w:r w:rsidR="00837A5D" w:rsidRPr="00837A5D">
              <w:t xml:space="preserve">opinion of an advanced practice registered nurse that is based on an examination of a proposed ward that is conducted under delegation from and supervision by a physician is considered the delegating physician's </w:t>
            </w:r>
            <w:r>
              <w:t xml:space="preserve">determination or </w:t>
            </w:r>
            <w:r w:rsidR="00837A5D" w:rsidRPr="00837A5D">
              <w:t>opinion</w:t>
            </w:r>
            <w:r>
              <w:t xml:space="preserve"> </w:t>
            </w:r>
            <w:r w:rsidR="0000191A">
              <w:t>as it relates to</w:t>
            </w:r>
            <w:r>
              <w:t xml:space="preserve"> the following:</w:t>
            </w:r>
          </w:p>
          <w:p w14:paraId="1DAE3ED3" w14:textId="77777777" w:rsidR="00BC3485" w:rsidRDefault="00303CA1" w:rsidP="0001535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proposed ward's ability to operate a motor vehicle and make personal decisions regarding voting;</w:t>
            </w:r>
          </w:p>
          <w:p w14:paraId="713E7597" w14:textId="77777777" w:rsidR="00BC3485" w:rsidRDefault="00303CA1" w:rsidP="0001535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written update or endorsement of a previous </w:t>
            </w:r>
            <w:r w:rsidRPr="00BC3485">
              <w:t>determination of an intellectual disability</w:t>
            </w:r>
            <w:r>
              <w:t>; and</w:t>
            </w:r>
          </w:p>
          <w:p w14:paraId="2EC004E8" w14:textId="6F029F50" w:rsidR="00837A5D" w:rsidRDefault="00303CA1" w:rsidP="0001535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letter or certificate by the advan</w:t>
            </w:r>
            <w:r>
              <w:t>ced practice registered nurse for purposes of a proceeding to restore a ward's capacity or modify the guardianship</w:t>
            </w:r>
            <w:r w:rsidRPr="00837A5D">
              <w:t>.</w:t>
            </w:r>
          </w:p>
          <w:p w14:paraId="723ED889" w14:textId="77777777" w:rsidR="00311180" w:rsidRDefault="00311180" w:rsidP="00015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A6AF7B" w14:textId="153E9035" w:rsidR="002E783C" w:rsidRPr="009C36CD" w:rsidRDefault="00303CA1" w:rsidP="00015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3009 </w:t>
            </w:r>
            <w:r w:rsidRPr="002E783C">
              <w:t>appl</w:t>
            </w:r>
            <w:r>
              <w:t>ies</w:t>
            </w:r>
            <w:r w:rsidRPr="002E783C">
              <w:t xml:space="preserve"> only to an application for the appointment of a guardian, for the complete restoration of a ward's capacity, or for the m</w:t>
            </w:r>
            <w:r w:rsidRPr="002E783C">
              <w:t xml:space="preserve">odification of a guardianship that is filed on or after the </w:t>
            </w:r>
            <w:r>
              <w:t xml:space="preserve">bill's </w:t>
            </w:r>
            <w:r w:rsidRPr="002E783C">
              <w:t>effective date</w:t>
            </w:r>
            <w:r>
              <w:t>.</w:t>
            </w:r>
          </w:p>
          <w:p w14:paraId="2383AB12" w14:textId="77777777" w:rsidR="008423E4" w:rsidRPr="00835628" w:rsidRDefault="008423E4" w:rsidP="0001535B">
            <w:pPr>
              <w:rPr>
                <w:b/>
              </w:rPr>
            </w:pPr>
          </w:p>
        </w:tc>
      </w:tr>
      <w:tr w:rsidR="000B423D" w14:paraId="4F732BA7" w14:textId="77777777" w:rsidTr="00345119">
        <w:tc>
          <w:tcPr>
            <w:tcW w:w="9576" w:type="dxa"/>
          </w:tcPr>
          <w:p w14:paraId="69800D0C" w14:textId="77777777" w:rsidR="008423E4" w:rsidRPr="00A8133F" w:rsidRDefault="00303CA1" w:rsidP="0001535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818137" w14:textId="77777777" w:rsidR="008423E4" w:rsidRDefault="008423E4" w:rsidP="0001535B"/>
          <w:p w14:paraId="3346FE7D" w14:textId="1C2F10FB" w:rsidR="008423E4" w:rsidRPr="003624F2" w:rsidRDefault="00303CA1" w:rsidP="000153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E783C">
              <w:t>3</w:t>
            </w:r>
            <w:r>
              <w:t>.</w:t>
            </w:r>
          </w:p>
          <w:p w14:paraId="459DBD47" w14:textId="77777777" w:rsidR="008423E4" w:rsidRPr="00233FDB" w:rsidRDefault="008423E4" w:rsidP="0001535B">
            <w:pPr>
              <w:rPr>
                <w:b/>
              </w:rPr>
            </w:pPr>
          </w:p>
        </w:tc>
      </w:tr>
      <w:tr w:rsidR="000B423D" w14:paraId="7438EC25" w14:textId="77777777" w:rsidTr="00345119">
        <w:tc>
          <w:tcPr>
            <w:tcW w:w="9576" w:type="dxa"/>
          </w:tcPr>
          <w:p w14:paraId="03E49BC8" w14:textId="3B6BCB3B" w:rsidR="003D75D6" w:rsidRPr="003D75D6" w:rsidRDefault="003D75D6" w:rsidP="0001535B">
            <w:pPr>
              <w:jc w:val="both"/>
            </w:pPr>
          </w:p>
        </w:tc>
      </w:tr>
      <w:tr w:rsidR="000B423D" w14:paraId="67A9B263" w14:textId="77777777" w:rsidTr="00345119">
        <w:tc>
          <w:tcPr>
            <w:tcW w:w="9576" w:type="dxa"/>
          </w:tcPr>
          <w:p w14:paraId="4724BE6A" w14:textId="77777777" w:rsidR="00AA1EFF" w:rsidRPr="009C1E9A" w:rsidRDefault="00AA1EFF" w:rsidP="0001535B">
            <w:pPr>
              <w:rPr>
                <w:b/>
                <w:u w:val="single"/>
              </w:rPr>
            </w:pPr>
          </w:p>
        </w:tc>
      </w:tr>
      <w:tr w:rsidR="000B423D" w14:paraId="4BD5EC82" w14:textId="77777777" w:rsidTr="00345119">
        <w:tc>
          <w:tcPr>
            <w:tcW w:w="9576" w:type="dxa"/>
          </w:tcPr>
          <w:p w14:paraId="6ADD6E1B" w14:textId="77777777" w:rsidR="00AA1EFF" w:rsidRPr="00AA1EFF" w:rsidRDefault="00AA1EFF" w:rsidP="0001535B">
            <w:pPr>
              <w:jc w:val="both"/>
            </w:pPr>
          </w:p>
        </w:tc>
      </w:tr>
    </w:tbl>
    <w:p w14:paraId="105E7DDD" w14:textId="77777777" w:rsidR="008423E4" w:rsidRPr="00BE0E75" w:rsidRDefault="008423E4" w:rsidP="0001535B">
      <w:pPr>
        <w:jc w:val="both"/>
        <w:rPr>
          <w:rFonts w:ascii="Arial" w:hAnsi="Arial"/>
          <w:sz w:val="16"/>
          <w:szCs w:val="16"/>
        </w:rPr>
      </w:pPr>
    </w:p>
    <w:p w14:paraId="140F32BF" w14:textId="77777777" w:rsidR="004108C3" w:rsidRPr="008423E4" w:rsidRDefault="004108C3" w:rsidP="0001535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6927" w14:textId="77777777" w:rsidR="00000000" w:rsidRDefault="00303CA1">
      <w:r>
        <w:separator/>
      </w:r>
    </w:p>
  </w:endnote>
  <w:endnote w:type="continuationSeparator" w:id="0">
    <w:p w14:paraId="0C310C60" w14:textId="77777777" w:rsidR="00000000" w:rsidRDefault="003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636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B423D" w14:paraId="7E88A9E5" w14:textId="77777777" w:rsidTr="009C1E9A">
      <w:trPr>
        <w:cantSplit/>
      </w:trPr>
      <w:tc>
        <w:tcPr>
          <w:tcW w:w="0" w:type="pct"/>
        </w:tcPr>
        <w:p w14:paraId="150B3E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68F9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4251B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464D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0799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423D" w14:paraId="54426833" w14:textId="77777777" w:rsidTr="009C1E9A">
      <w:trPr>
        <w:cantSplit/>
      </w:trPr>
      <w:tc>
        <w:tcPr>
          <w:tcW w:w="0" w:type="pct"/>
        </w:tcPr>
        <w:p w14:paraId="5BEAAC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E003D2" w14:textId="3792CD01" w:rsidR="00EC379B" w:rsidRPr="009C1E9A" w:rsidRDefault="00303C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24656-D</w:t>
          </w:r>
        </w:p>
      </w:tc>
      <w:tc>
        <w:tcPr>
          <w:tcW w:w="2453" w:type="pct"/>
        </w:tcPr>
        <w:p w14:paraId="30FF7BF0" w14:textId="24F29BF6" w:rsidR="00EC379B" w:rsidRDefault="00303C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D27C4">
            <w:t>23.110.2514</w:t>
          </w:r>
          <w:r>
            <w:fldChar w:fldCharType="end"/>
          </w:r>
        </w:p>
      </w:tc>
    </w:tr>
    <w:tr w:rsidR="000B423D" w14:paraId="11AC833D" w14:textId="77777777" w:rsidTr="009C1E9A">
      <w:trPr>
        <w:cantSplit/>
      </w:trPr>
      <w:tc>
        <w:tcPr>
          <w:tcW w:w="0" w:type="pct"/>
        </w:tcPr>
        <w:p w14:paraId="12A4475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51B424" w14:textId="389999B0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07893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B61E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423D" w14:paraId="1FECBD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3387D0" w14:textId="2E51918A" w:rsidR="00EC379B" w:rsidRDefault="00303C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F03F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EE09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2000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83F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BB55" w14:textId="77777777" w:rsidR="00000000" w:rsidRDefault="00303CA1">
      <w:r>
        <w:separator/>
      </w:r>
    </w:p>
  </w:footnote>
  <w:footnote w:type="continuationSeparator" w:id="0">
    <w:p w14:paraId="058EDEBE" w14:textId="77777777" w:rsidR="00000000" w:rsidRDefault="0030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090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FC3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E67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931"/>
    <w:multiLevelType w:val="hybridMultilevel"/>
    <w:tmpl w:val="9E407BFC"/>
    <w:lvl w:ilvl="0" w:tplc="A8368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E0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08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C5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0A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AF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07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AB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60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740"/>
    <w:multiLevelType w:val="hybridMultilevel"/>
    <w:tmpl w:val="F360421C"/>
    <w:lvl w:ilvl="0" w:tplc="747AD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8A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6E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B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B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1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CA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6C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60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3699A"/>
    <w:multiLevelType w:val="hybridMultilevel"/>
    <w:tmpl w:val="1740302A"/>
    <w:lvl w:ilvl="0" w:tplc="036A5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49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22A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AB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C1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0A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85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C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47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07"/>
    <w:rsid w:val="00000A70"/>
    <w:rsid w:val="0000191A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35B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976"/>
    <w:rsid w:val="00073914"/>
    <w:rsid w:val="00074236"/>
    <w:rsid w:val="000746BD"/>
    <w:rsid w:val="00076D7D"/>
    <w:rsid w:val="00080D95"/>
    <w:rsid w:val="0008250A"/>
    <w:rsid w:val="00082630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423D"/>
    <w:rsid w:val="000B4BEC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4845"/>
    <w:rsid w:val="000D546F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8E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07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E32"/>
    <w:rsid w:val="002E21B8"/>
    <w:rsid w:val="002E783C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3CA1"/>
    <w:rsid w:val="0030459C"/>
    <w:rsid w:val="00311180"/>
    <w:rsid w:val="00313DFE"/>
    <w:rsid w:val="003143B2"/>
    <w:rsid w:val="00314821"/>
    <w:rsid w:val="0031483F"/>
    <w:rsid w:val="0031741B"/>
    <w:rsid w:val="00321337"/>
    <w:rsid w:val="00321F2F"/>
    <w:rsid w:val="003237F6"/>
    <w:rsid w:val="00323F45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BB4"/>
    <w:rsid w:val="00377E3D"/>
    <w:rsid w:val="003847E8"/>
    <w:rsid w:val="0038731D"/>
    <w:rsid w:val="00387B60"/>
    <w:rsid w:val="00390098"/>
    <w:rsid w:val="00390C7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5D6"/>
    <w:rsid w:val="003E0875"/>
    <w:rsid w:val="003E0BB8"/>
    <w:rsid w:val="003E15F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703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00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FEC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48C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871"/>
    <w:rsid w:val="005A6D13"/>
    <w:rsid w:val="005B031F"/>
    <w:rsid w:val="005B2CCE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57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997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7D5"/>
    <w:rsid w:val="00662B77"/>
    <w:rsid w:val="00662D0E"/>
    <w:rsid w:val="00663265"/>
    <w:rsid w:val="0066345F"/>
    <w:rsid w:val="00664131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78F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07F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FB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A5D"/>
    <w:rsid w:val="0084176D"/>
    <w:rsid w:val="008423E4"/>
    <w:rsid w:val="00842900"/>
    <w:rsid w:val="008469FE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B07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5FA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3DB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9DE"/>
    <w:rsid w:val="009A1883"/>
    <w:rsid w:val="009A39F5"/>
    <w:rsid w:val="009A4588"/>
    <w:rsid w:val="009A5EA5"/>
    <w:rsid w:val="009A62CA"/>
    <w:rsid w:val="009A6877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B55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294E"/>
    <w:rsid w:val="00A1446F"/>
    <w:rsid w:val="00A146B9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2FA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82C"/>
    <w:rsid w:val="00A9315A"/>
    <w:rsid w:val="00A932BB"/>
    <w:rsid w:val="00A93579"/>
    <w:rsid w:val="00A93934"/>
    <w:rsid w:val="00A95D51"/>
    <w:rsid w:val="00A95DFE"/>
    <w:rsid w:val="00AA0EAF"/>
    <w:rsid w:val="00AA18AE"/>
    <w:rsid w:val="00AA1EFF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2E6"/>
    <w:rsid w:val="00AD304B"/>
    <w:rsid w:val="00AD4497"/>
    <w:rsid w:val="00AD7780"/>
    <w:rsid w:val="00AE2263"/>
    <w:rsid w:val="00AE248E"/>
    <w:rsid w:val="00AE2D12"/>
    <w:rsid w:val="00AE2F06"/>
    <w:rsid w:val="00AE4F1C"/>
    <w:rsid w:val="00AF013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E3A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129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E3F"/>
    <w:rsid w:val="00BC30A6"/>
    <w:rsid w:val="00BC3485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951"/>
    <w:rsid w:val="00C35CC5"/>
    <w:rsid w:val="00C35E5E"/>
    <w:rsid w:val="00C361C5"/>
    <w:rsid w:val="00C377D1"/>
    <w:rsid w:val="00C37BDA"/>
    <w:rsid w:val="00C37C84"/>
    <w:rsid w:val="00C42B41"/>
    <w:rsid w:val="00C4342C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6B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558"/>
    <w:rsid w:val="00CA4CA0"/>
    <w:rsid w:val="00CA4F32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7C4"/>
    <w:rsid w:val="00CD37DA"/>
    <w:rsid w:val="00CD4F2C"/>
    <w:rsid w:val="00CD5603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690"/>
    <w:rsid w:val="00D35728"/>
    <w:rsid w:val="00D37BCF"/>
    <w:rsid w:val="00D40F93"/>
    <w:rsid w:val="00D4131E"/>
    <w:rsid w:val="00D42277"/>
    <w:rsid w:val="00D43C59"/>
    <w:rsid w:val="00D44ADE"/>
    <w:rsid w:val="00D5009D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F1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8F4"/>
    <w:rsid w:val="00DE606B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E26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36C"/>
    <w:rsid w:val="00F706CA"/>
    <w:rsid w:val="00F70F8D"/>
    <w:rsid w:val="00F71C5A"/>
    <w:rsid w:val="00F725CC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EC2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3F5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285882-6FD0-4B4C-AA2F-B43C842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2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2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2C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2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2CCE"/>
    <w:rPr>
      <w:b/>
      <w:bCs/>
    </w:rPr>
  </w:style>
  <w:style w:type="paragraph" w:styleId="Revision">
    <w:name w:val="Revision"/>
    <w:hidden/>
    <w:uiPriority w:val="99"/>
    <w:semiHidden/>
    <w:rsid w:val="007050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2867</Characters>
  <Application>Microsoft Office Word</Application>
  <DocSecurity>4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HB03009 (Committee Report (Unamended))</vt:lpstr>
    </vt:vector>
  </TitlesOfParts>
  <Company>State of Texas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24656</dc:subject>
  <dc:creator>State of Texas</dc:creator>
  <dc:description>HB 3009 by VanDeaver-(H)Judiciary &amp; Civil Jurisprudence</dc:description>
  <cp:lastModifiedBy>Alan Gonzalez Otero</cp:lastModifiedBy>
  <cp:revision>2</cp:revision>
  <cp:lastPrinted>2003-11-26T17:21:00Z</cp:lastPrinted>
  <dcterms:created xsi:type="dcterms:W3CDTF">2023-04-25T01:20:00Z</dcterms:created>
  <dcterms:modified xsi:type="dcterms:W3CDTF">2023-04-25T01:20:00Z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23.110.2514</vt:lpwstr>
  </property>
</Properties>
</file>