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9107E" w14:paraId="04F94BF9" w14:textId="77777777" w:rsidTr="00345119">
        <w:tc>
          <w:tcPr>
            <w:tcW w:w="9576" w:type="dxa"/>
            <w:noWrap/>
          </w:tcPr>
          <w:p w14:paraId="080A0F4A" w14:textId="77777777" w:rsidR="008423E4" w:rsidRPr="0022177D" w:rsidRDefault="00B57AA9" w:rsidP="00A22D38">
            <w:pPr>
              <w:pStyle w:val="Heading1"/>
            </w:pPr>
            <w:r w:rsidRPr="00631897">
              <w:t>BILL ANALYSIS</w:t>
            </w:r>
          </w:p>
        </w:tc>
      </w:tr>
    </w:tbl>
    <w:p w14:paraId="6AE44ADF" w14:textId="77777777" w:rsidR="008423E4" w:rsidRPr="0022177D" w:rsidRDefault="008423E4" w:rsidP="00A22D38">
      <w:pPr>
        <w:jc w:val="center"/>
      </w:pPr>
    </w:p>
    <w:p w14:paraId="53194EC9" w14:textId="77777777" w:rsidR="008423E4" w:rsidRPr="00B31F0E" w:rsidRDefault="008423E4" w:rsidP="00A22D38"/>
    <w:p w14:paraId="0CF065F1" w14:textId="77777777" w:rsidR="008423E4" w:rsidRPr="00742794" w:rsidRDefault="008423E4" w:rsidP="00A22D3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9107E" w14:paraId="379649EF" w14:textId="77777777" w:rsidTr="00345119">
        <w:tc>
          <w:tcPr>
            <w:tcW w:w="9576" w:type="dxa"/>
          </w:tcPr>
          <w:p w14:paraId="7D8377C2" w14:textId="7218D386" w:rsidR="008423E4" w:rsidRPr="00861995" w:rsidRDefault="00B57AA9" w:rsidP="00A22D38">
            <w:pPr>
              <w:jc w:val="right"/>
            </w:pPr>
            <w:r>
              <w:t>C.S.H.B. 3033</w:t>
            </w:r>
          </w:p>
        </w:tc>
      </w:tr>
      <w:tr w:rsidR="0079107E" w14:paraId="434531D4" w14:textId="77777777" w:rsidTr="00345119">
        <w:tc>
          <w:tcPr>
            <w:tcW w:w="9576" w:type="dxa"/>
          </w:tcPr>
          <w:p w14:paraId="1B9F246D" w14:textId="702BD281" w:rsidR="008423E4" w:rsidRPr="00861995" w:rsidRDefault="00B57AA9" w:rsidP="00A22D38">
            <w:pPr>
              <w:jc w:val="right"/>
            </w:pPr>
            <w:r>
              <w:t xml:space="preserve">By: </w:t>
            </w:r>
            <w:r w:rsidR="00035C1D">
              <w:t>Landgraf</w:t>
            </w:r>
          </w:p>
        </w:tc>
      </w:tr>
      <w:tr w:rsidR="0079107E" w14:paraId="0FECFB82" w14:textId="77777777" w:rsidTr="00345119">
        <w:tc>
          <w:tcPr>
            <w:tcW w:w="9576" w:type="dxa"/>
          </w:tcPr>
          <w:p w14:paraId="50956FC0" w14:textId="1ACB06AC" w:rsidR="008423E4" w:rsidRPr="00861995" w:rsidRDefault="00B57AA9" w:rsidP="00A22D38">
            <w:pPr>
              <w:jc w:val="right"/>
            </w:pPr>
            <w:r>
              <w:t>State Affairs</w:t>
            </w:r>
          </w:p>
        </w:tc>
      </w:tr>
      <w:tr w:rsidR="0079107E" w14:paraId="7A5CB96B" w14:textId="77777777" w:rsidTr="00345119">
        <w:tc>
          <w:tcPr>
            <w:tcW w:w="9576" w:type="dxa"/>
          </w:tcPr>
          <w:p w14:paraId="11796D24" w14:textId="44CEE12C" w:rsidR="008423E4" w:rsidRDefault="00B57AA9" w:rsidP="00A22D38">
            <w:pPr>
              <w:jc w:val="right"/>
            </w:pPr>
            <w:r>
              <w:t>Committee Report (Substituted)</w:t>
            </w:r>
          </w:p>
        </w:tc>
      </w:tr>
    </w:tbl>
    <w:p w14:paraId="524238AE" w14:textId="77777777" w:rsidR="008423E4" w:rsidRDefault="008423E4" w:rsidP="00A22D38">
      <w:pPr>
        <w:tabs>
          <w:tab w:val="right" w:pos="9360"/>
        </w:tabs>
      </w:pPr>
    </w:p>
    <w:p w14:paraId="518539F6" w14:textId="77777777" w:rsidR="008423E4" w:rsidRDefault="008423E4" w:rsidP="00A22D38"/>
    <w:p w14:paraId="7F0D6888" w14:textId="77777777" w:rsidR="008423E4" w:rsidRDefault="008423E4" w:rsidP="00A22D3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9107E" w14:paraId="00FF8FDD" w14:textId="77777777" w:rsidTr="00345119">
        <w:tc>
          <w:tcPr>
            <w:tcW w:w="9576" w:type="dxa"/>
          </w:tcPr>
          <w:p w14:paraId="40702543" w14:textId="77777777" w:rsidR="008423E4" w:rsidRPr="00A8133F" w:rsidRDefault="00B57AA9" w:rsidP="00A22D3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9525EEC" w14:textId="77777777" w:rsidR="008423E4" w:rsidRDefault="008423E4" w:rsidP="00A22D38"/>
          <w:p w14:paraId="58104692" w14:textId="61149A56" w:rsidR="008423E4" w:rsidRDefault="00B57AA9" w:rsidP="00A22D38">
            <w:pPr>
              <w:pStyle w:val="Header"/>
              <w:jc w:val="both"/>
            </w:pPr>
            <w:r w:rsidRPr="00B6787D">
              <w:t xml:space="preserve">Currently, </w:t>
            </w:r>
            <w:r>
              <w:t>s</w:t>
            </w:r>
            <w:r w:rsidR="009500CC">
              <w:t>t</w:t>
            </w:r>
            <w:r>
              <w:t>ate public information</w:t>
            </w:r>
            <w:r w:rsidRPr="00B6787D">
              <w:t xml:space="preserve"> law provides </w:t>
            </w:r>
            <w:r>
              <w:t>a</w:t>
            </w:r>
            <w:r w:rsidRPr="00B6787D">
              <w:t xml:space="preserve"> governmental </w:t>
            </w:r>
            <w:r>
              <w:t>body the opportunity</w:t>
            </w:r>
            <w:r w:rsidRPr="00B6787D">
              <w:t xml:space="preserve"> to delay the release of information </w:t>
            </w:r>
            <w:r>
              <w:t xml:space="preserve">subject to a public information request </w:t>
            </w:r>
            <w:r w:rsidRPr="00B6787D">
              <w:t>by requesting an opinion from the Office of the Attorney</w:t>
            </w:r>
            <w:r>
              <w:t xml:space="preserve"> General regarding whether the information may legally be withheld</w:t>
            </w:r>
            <w:r w:rsidRPr="00B6787D">
              <w:t>. The opinion process as currently written does not ensur</w:t>
            </w:r>
            <w:r w:rsidRPr="00B6787D">
              <w:t xml:space="preserve">e the timely release of </w:t>
            </w:r>
            <w:r>
              <w:t xml:space="preserve">requested </w:t>
            </w:r>
            <w:r w:rsidRPr="00B6787D">
              <w:t xml:space="preserve">information </w:t>
            </w:r>
            <w:r>
              <w:t>and</w:t>
            </w:r>
            <w:r w:rsidRPr="00B6787D">
              <w:t xml:space="preserve"> </w:t>
            </w:r>
            <w:r>
              <w:t>t</w:t>
            </w:r>
            <w:r w:rsidRPr="00B6787D">
              <w:t xml:space="preserve">hus effectively permits governmental bodies to delay </w:t>
            </w:r>
            <w:r>
              <w:t>the response to a public information</w:t>
            </w:r>
            <w:r w:rsidRPr="00B6787D">
              <w:t xml:space="preserve"> request for an </w:t>
            </w:r>
            <w:r>
              <w:t>extended</w:t>
            </w:r>
            <w:r w:rsidRPr="00B6787D">
              <w:t xml:space="preserve"> amount of time.</w:t>
            </w:r>
            <w:r>
              <w:t xml:space="preserve"> C.S.H.B. 3033 seeks to address this issue and ensure a more timely release </w:t>
            </w:r>
            <w:r>
              <w:t>of information subject to public information law</w:t>
            </w:r>
            <w:r w:rsidR="00EB1C88">
              <w:t xml:space="preserve"> by</w:t>
            </w:r>
            <w:r w:rsidR="000403BA">
              <w:t xml:space="preserve"> implementing a number of safeguards, including</w:t>
            </w:r>
            <w:r w:rsidR="00EB1C88">
              <w:t xml:space="preserve"> requiring a governmental body to take action within 30 days after the issuance of an opinion by the attorney general following a request from the governmental body.</w:t>
            </w:r>
          </w:p>
          <w:p w14:paraId="037029C8" w14:textId="77777777" w:rsidR="008423E4" w:rsidRPr="00E26B13" w:rsidRDefault="008423E4" w:rsidP="00A22D38">
            <w:pPr>
              <w:rPr>
                <w:b/>
              </w:rPr>
            </w:pPr>
          </w:p>
        </w:tc>
      </w:tr>
      <w:tr w:rsidR="0079107E" w14:paraId="58F12158" w14:textId="77777777" w:rsidTr="00345119">
        <w:tc>
          <w:tcPr>
            <w:tcW w:w="9576" w:type="dxa"/>
          </w:tcPr>
          <w:p w14:paraId="673EB938" w14:textId="77777777" w:rsidR="0017725B" w:rsidRDefault="00B57AA9" w:rsidP="00A22D3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C54926D" w14:textId="77777777" w:rsidR="0017725B" w:rsidRDefault="0017725B" w:rsidP="00A22D38">
            <w:pPr>
              <w:rPr>
                <w:b/>
                <w:u w:val="single"/>
              </w:rPr>
            </w:pPr>
          </w:p>
          <w:p w14:paraId="48815B4D" w14:textId="259886D2" w:rsidR="00A62D5D" w:rsidRPr="00A62D5D" w:rsidRDefault="00B57AA9" w:rsidP="00A22D38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</w:t>
            </w:r>
            <w:r>
              <w:t>ity supervision, parole, or mandatory supervision.</w:t>
            </w:r>
          </w:p>
          <w:p w14:paraId="3AA7F866" w14:textId="77777777" w:rsidR="0017725B" w:rsidRPr="0017725B" w:rsidRDefault="0017725B" w:rsidP="00A22D38">
            <w:pPr>
              <w:rPr>
                <w:b/>
                <w:u w:val="single"/>
              </w:rPr>
            </w:pPr>
          </w:p>
        </w:tc>
      </w:tr>
      <w:tr w:rsidR="0079107E" w14:paraId="185E8811" w14:textId="77777777" w:rsidTr="00345119">
        <w:tc>
          <w:tcPr>
            <w:tcW w:w="9576" w:type="dxa"/>
          </w:tcPr>
          <w:p w14:paraId="359900F7" w14:textId="77777777" w:rsidR="008423E4" w:rsidRPr="00A8133F" w:rsidRDefault="00B57AA9" w:rsidP="00A22D3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9C6CEF5" w14:textId="77777777" w:rsidR="008423E4" w:rsidRDefault="008423E4" w:rsidP="00A22D38"/>
          <w:p w14:paraId="1E120285" w14:textId="4C1C77B7" w:rsidR="00983E15" w:rsidRDefault="00B57AA9" w:rsidP="00A22D3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rulemaking authority is expressly granted to the attorney general in SECTION 3 of this bill.</w:t>
            </w:r>
          </w:p>
          <w:p w14:paraId="3ED8A5D4" w14:textId="77777777" w:rsidR="008423E4" w:rsidRPr="00E21FDC" w:rsidRDefault="008423E4" w:rsidP="00A22D38">
            <w:pPr>
              <w:rPr>
                <w:b/>
              </w:rPr>
            </w:pPr>
          </w:p>
        </w:tc>
      </w:tr>
      <w:tr w:rsidR="0079107E" w14:paraId="4521325F" w14:textId="77777777" w:rsidTr="00345119">
        <w:tc>
          <w:tcPr>
            <w:tcW w:w="9576" w:type="dxa"/>
          </w:tcPr>
          <w:p w14:paraId="7D96A3AD" w14:textId="77777777" w:rsidR="008423E4" w:rsidRPr="00A8133F" w:rsidRDefault="00B57AA9" w:rsidP="00A22D3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7122A32" w14:textId="77777777" w:rsidR="008423E4" w:rsidRDefault="008423E4" w:rsidP="00A22D38"/>
          <w:p w14:paraId="14FF8458" w14:textId="6CA9AB2C" w:rsidR="006632BA" w:rsidRDefault="00B57AA9" w:rsidP="00A22D3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031FD7">
              <w:t xml:space="preserve">H.B. 3033 amends the Government Code to </w:t>
            </w:r>
            <w:r w:rsidR="00B4053D">
              <w:t xml:space="preserve">require a governmental body that requests an attorney general decision </w:t>
            </w:r>
            <w:r w:rsidR="00371567">
              <w:t xml:space="preserve">regarding whether the governmental body may withhold information requested under state public information law </w:t>
            </w:r>
            <w:r w:rsidR="00B4053D">
              <w:t>to submit the request through the attorney general's designated electronic filing system. That requirement does not apply to a request made if</w:t>
            </w:r>
            <w:r>
              <w:t>, as follows:</w:t>
            </w:r>
            <w:r w:rsidR="00B4053D">
              <w:t xml:space="preserve"> </w:t>
            </w:r>
          </w:p>
          <w:p w14:paraId="45996450" w14:textId="5C625530" w:rsidR="006632BA" w:rsidRDefault="00B57AA9" w:rsidP="00A22D3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>the governmental body requesting the decision has fewer than 16 full-time employees or is located in a county with a population of les</w:t>
            </w:r>
            <w:r>
              <w:t xml:space="preserve">s than 150,000; or </w:t>
            </w:r>
          </w:p>
          <w:p w14:paraId="2AEE8BBF" w14:textId="046F6027" w:rsidR="006632BA" w:rsidRDefault="00B57AA9" w:rsidP="00A22D3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amount or format of responsive information at issue in a particular request makes use of the attorney general's electronic filing system impractical or impossible. </w:t>
            </w:r>
          </w:p>
          <w:p w14:paraId="6FAD932C" w14:textId="7B19879D" w:rsidR="00B4053D" w:rsidRDefault="00B57AA9" w:rsidP="00A22D3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 authorizes the attorney general to adopt rules necessary t</w:t>
            </w:r>
            <w:r>
              <w:t>o implement these provisions, including rules that define the amount or type of formatting of information that makes use of the electronic filing system impractical or impossible.</w:t>
            </w:r>
            <w:r w:rsidR="00983E15">
              <w:t xml:space="preserve"> These provisions </w:t>
            </w:r>
            <w:r w:rsidR="00983E15" w:rsidRPr="007E5EA9">
              <w:t>appl</w:t>
            </w:r>
            <w:r w:rsidR="00983E15">
              <w:t>y</w:t>
            </w:r>
            <w:r w:rsidR="00983E15" w:rsidRPr="007E5EA9">
              <w:t xml:space="preserve"> to a request for an attorney general decision made on or after the </w:t>
            </w:r>
            <w:r w:rsidR="00983E15">
              <w:t xml:space="preserve">bill's </w:t>
            </w:r>
            <w:r w:rsidR="00983E15" w:rsidRPr="007E5EA9">
              <w:t>effective date</w:t>
            </w:r>
            <w:r w:rsidR="00983E15">
              <w:t>.</w:t>
            </w:r>
          </w:p>
          <w:p w14:paraId="28B6BA6E" w14:textId="77777777" w:rsidR="00B4053D" w:rsidRDefault="00B4053D" w:rsidP="00A22D3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E3E4125" w14:textId="573F2CB4" w:rsidR="00271E96" w:rsidRDefault="00B57AA9" w:rsidP="00A22D3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3033</w:t>
            </w:r>
            <w:r w:rsidR="006632BA">
              <w:t>, with respect to the rendition of the attorney general decision and the issuance of a written opinion,</w:t>
            </w:r>
            <w:r>
              <w:t xml:space="preserve"> </w:t>
            </w:r>
            <w:r w:rsidR="00031FD7">
              <w:t>remove</w:t>
            </w:r>
            <w:r>
              <w:t>s</w:t>
            </w:r>
            <w:r w:rsidR="00031FD7">
              <w:t xml:space="preserve"> the option for the attorney general to extend the initial</w:t>
            </w:r>
            <w:r w:rsidR="00A62D5D">
              <w:t xml:space="preserve"> </w:t>
            </w:r>
            <w:r>
              <w:t xml:space="preserve">45-day </w:t>
            </w:r>
            <w:r w:rsidR="00A62D5D">
              <w:t>response</w:t>
            </w:r>
            <w:r w:rsidR="00031FD7">
              <w:t xml:space="preserve"> period </w:t>
            </w:r>
            <w:r>
              <w:t xml:space="preserve">following a </w:t>
            </w:r>
            <w:r>
              <w:t>request</w:t>
            </w:r>
            <w:r w:rsidR="00CB257D">
              <w:t xml:space="preserve"> by 10 business days</w:t>
            </w:r>
            <w:r>
              <w:t xml:space="preserve"> </w:t>
            </w:r>
            <w:r w:rsidR="00031FD7">
              <w:t>if unable to issue a decision within the time allotted.</w:t>
            </w:r>
            <w:r w:rsidR="007E5EA9">
              <w:t xml:space="preserve"> The bill requires a governmental body, as soon as practicable but not later than the </w:t>
            </w:r>
            <w:r>
              <w:t>30</w:t>
            </w:r>
            <w:r w:rsidR="007E5EA9">
              <w:t xml:space="preserve">th day after the date </w:t>
            </w:r>
            <w:r w:rsidR="00A62D5D">
              <w:t>the attorney general</w:t>
            </w:r>
            <w:r w:rsidR="007E5EA9">
              <w:t xml:space="preserve"> issue</w:t>
            </w:r>
            <w:r>
              <w:t xml:space="preserve">s an opinion regarding the requested </w:t>
            </w:r>
            <w:r>
              <w:t>information</w:t>
            </w:r>
            <w:r w:rsidR="007E5EA9">
              <w:t xml:space="preserve">, to </w:t>
            </w:r>
            <w:r>
              <w:t xml:space="preserve">take the following actions, as applicable: </w:t>
            </w:r>
          </w:p>
          <w:p w14:paraId="44C6818D" w14:textId="1F607AD0" w:rsidR="00271E96" w:rsidRDefault="00B57AA9" w:rsidP="00A22D3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271E96">
              <w:t>provide the requestor of the information an itemized estimate of charges for production of the information</w:t>
            </w:r>
            <w:r>
              <w:t>,</w:t>
            </w:r>
            <w:r w:rsidRPr="00271E96">
              <w:t xml:space="preserve"> if the estimate is required</w:t>
            </w:r>
            <w:r>
              <w:t xml:space="preserve"> by law;</w:t>
            </w:r>
          </w:p>
          <w:p w14:paraId="4F54C95E" w14:textId="41A98BE2" w:rsidR="00271E96" w:rsidRDefault="00B57AA9" w:rsidP="00A22D3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produce </w:t>
            </w:r>
            <w:r w:rsidRPr="00C118DB">
              <w:t xml:space="preserve">the </w:t>
            </w:r>
            <w:r w:rsidR="00A62D5D" w:rsidRPr="00C118DB">
              <w:t xml:space="preserve">requested </w:t>
            </w:r>
            <w:r w:rsidRPr="00C118DB">
              <w:t>information</w:t>
            </w:r>
            <w:r>
              <w:t xml:space="preserve"> or notify the requestor in writing that the information is authorized to be withheld, as applicable depending on the opinion issued; or</w:t>
            </w:r>
          </w:p>
          <w:p w14:paraId="37D34B2C" w14:textId="15833D52" w:rsidR="00271E96" w:rsidRDefault="00B57AA9" w:rsidP="00A22D3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271E96">
              <w:t>notify the requestor in writing that the governmental body has filed suit against the attorney general regarding the in</w:t>
            </w:r>
            <w:r w:rsidRPr="00271E96">
              <w:t>formation</w:t>
            </w:r>
            <w:r>
              <w:t>.</w:t>
            </w:r>
          </w:p>
          <w:p w14:paraId="0B76C7E8" w14:textId="063E071B" w:rsidR="008B5446" w:rsidRDefault="00B57AA9" w:rsidP="00A22D3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These provisions </w:t>
            </w:r>
            <w:r w:rsidRPr="007E5EA9">
              <w:t>appl</w:t>
            </w:r>
            <w:r>
              <w:t>y</w:t>
            </w:r>
            <w:r w:rsidRPr="007E5EA9">
              <w:t xml:space="preserve"> to a request for an attorney general decision made on or after the </w:t>
            </w:r>
            <w:r>
              <w:t xml:space="preserve">bill's </w:t>
            </w:r>
            <w:r w:rsidRPr="007E5EA9">
              <w:t>effective date</w:t>
            </w:r>
            <w:r>
              <w:t>.</w:t>
            </w:r>
          </w:p>
          <w:p w14:paraId="0CDA0215" w14:textId="77777777" w:rsidR="008B5446" w:rsidRDefault="008B5446" w:rsidP="00A22D3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EE98DDE" w14:textId="52FBCEC2" w:rsidR="009C36CD" w:rsidRDefault="00B57AA9" w:rsidP="00A22D38">
            <w:pPr>
              <w:pStyle w:val="Header"/>
              <w:jc w:val="both"/>
            </w:pPr>
            <w:r>
              <w:t>C.S.</w:t>
            </w:r>
            <w:r w:rsidR="007E5EA9">
              <w:t xml:space="preserve">H.B. 3033 requires the Office of the Attorney General to make available on its website </w:t>
            </w:r>
            <w:r w:rsidR="00A62D5D">
              <w:t xml:space="preserve">not later than January 1, 2024, </w:t>
            </w:r>
            <w:r w:rsidR="007E5EA9">
              <w:t xml:space="preserve">an easily accessible and searchable database consisting of each decision request and the </w:t>
            </w:r>
            <w:r w:rsidR="00BC6B5A">
              <w:t xml:space="preserve">attorney general's opinion </w:t>
            </w:r>
            <w:r w:rsidR="007E5EA9">
              <w:t xml:space="preserve">issued </w:t>
            </w:r>
            <w:r w:rsidR="00BC6B5A">
              <w:t xml:space="preserve">for </w:t>
            </w:r>
            <w:r w:rsidR="007E5EA9">
              <w:t xml:space="preserve">the request. The database, at a minimum, must allow a person to search for a request or </w:t>
            </w:r>
            <w:r w:rsidR="00BC6B5A">
              <w:t xml:space="preserve">opinion </w:t>
            </w:r>
            <w:r w:rsidR="007E5EA9">
              <w:t xml:space="preserve">by the name of the governmental body making the request and by the exception to required disclosure that a governmental body </w:t>
            </w:r>
            <w:r w:rsidR="007E5EA9" w:rsidRPr="00C118DB">
              <w:t>asserts in the request applies to its request</w:t>
            </w:r>
            <w:r w:rsidR="00C118DB">
              <w:t xml:space="preserve"> to withhold information</w:t>
            </w:r>
            <w:r w:rsidR="007E5EA9">
              <w:t xml:space="preserve">. The database </w:t>
            </w:r>
            <w:r w:rsidR="007E5EA9" w:rsidRPr="00C118DB">
              <w:t>must also allow</w:t>
            </w:r>
            <w:r w:rsidR="007E5EA9">
              <w:t xml:space="preserve"> a person to view the current status of a request and an estimated timeline indicating the date each stage of review of the request will be started and completed.</w:t>
            </w:r>
          </w:p>
          <w:p w14:paraId="55508198" w14:textId="7451F21B" w:rsidR="00371567" w:rsidRDefault="00371567" w:rsidP="00A22D38">
            <w:pPr>
              <w:pStyle w:val="Header"/>
              <w:jc w:val="both"/>
            </w:pPr>
          </w:p>
          <w:p w14:paraId="06C1E9BA" w14:textId="0FA1C514" w:rsidR="00371567" w:rsidRDefault="00B57AA9" w:rsidP="00A22D38">
            <w:pPr>
              <w:pStyle w:val="Header"/>
              <w:jc w:val="both"/>
            </w:pPr>
            <w:r>
              <w:t>C.S.H.B. 3033, with respect to the exception from required disclosure for certain law enforcement, corrections, and prosecutorial information, requires a g</w:t>
            </w:r>
            <w:r w:rsidRPr="008B5446">
              <w:t>overnmenta</w:t>
            </w:r>
            <w:r w:rsidRPr="008B5446">
              <w:t xml:space="preserve">l body </w:t>
            </w:r>
            <w:r>
              <w:t>to</w:t>
            </w:r>
            <w:r w:rsidRPr="008B5446">
              <w:t xml:space="preserve"> promptly release basic information responsive to a </w:t>
            </w:r>
            <w:r>
              <w:t xml:space="preserve">public information </w:t>
            </w:r>
            <w:r w:rsidRPr="008B5446">
              <w:t xml:space="preserve">request unless the governmental body seeks to withhold the information as provided </w:t>
            </w:r>
            <w:r w:rsidRPr="00B4053D">
              <w:t xml:space="preserve">by another provision of </w:t>
            </w:r>
            <w:r>
              <w:t>state public information law</w:t>
            </w:r>
            <w:r w:rsidRPr="008B5446">
              <w:t>, and regardless of whether the governmen</w:t>
            </w:r>
            <w:r w:rsidRPr="008B5446">
              <w:t>tal body requests an attorney general decision regarding other information subject to the request.</w:t>
            </w:r>
          </w:p>
          <w:p w14:paraId="75905428" w14:textId="77777777" w:rsidR="00371567" w:rsidRDefault="00371567" w:rsidP="00A22D38">
            <w:pPr>
              <w:pStyle w:val="Header"/>
              <w:jc w:val="both"/>
            </w:pPr>
          </w:p>
          <w:p w14:paraId="1A2CF947" w14:textId="1ED45693" w:rsidR="00371567" w:rsidRPr="009C36CD" w:rsidRDefault="00B57AA9" w:rsidP="00A22D3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3033 authorizes the</w:t>
            </w:r>
            <w:r w:rsidRPr="008B5446">
              <w:t xml:space="preserve"> attorney general </w:t>
            </w:r>
            <w:r>
              <w:t>to</w:t>
            </w:r>
            <w:r w:rsidRPr="008B5446">
              <w:t xml:space="preserve"> require each public official of a governmental body to complete </w:t>
            </w:r>
            <w:r>
              <w:t>an open records training course</w:t>
            </w:r>
            <w:r w:rsidRPr="008B5446">
              <w:t xml:space="preserve"> if the attorney general determines that the governmental body has failed to comply with a requirement of </w:t>
            </w:r>
            <w:r>
              <w:t>state public information law</w:t>
            </w:r>
            <w:r w:rsidRPr="008B5446">
              <w:t xml:space="preserve">. The </w:t>
            </w:r>
            <w:r>
              <w:t xml:space="preserve">bill requires the </w:t>
            </w:r>
            <w:r w:rsidRPr="008B5446">
              <w:t>at</w:t>
            </w:r>
            <w:r w:rsidRPr="008B5446">
              <w:t xml:space="preserve">torney general </w:t>
            </w:r>
            <w:r>
              <w:t>to</w:t>
            </w:r>
            <w:r w:rsidRPr="008B5446">
              <w:t xml:space="preserve"> notify each public official in writing of the attorney general's determination and the requirement to complete the training</w:t>
            </w:r>
            <w:r>
              <w:t xml:space="preserve"> and requires a</w:t>
            </w:r>
            <w:r w:rsidRPr="008B5446">
              <w:t xml:space="preserve"> public official who receives </w:t>
            </w:r>
            <w:r>
              <w:t xml:space="preserve">the </w:t>
            </w:r>
            <w:r w:rsidRPr="008B5446">
              <w:t xml:space="preserve">notice </w:t>
            </w:r>
            <w:r>
              <w:t>to</w:t>
            </w:r>
            <w:r w:rsidRPr="008B5446">
              <w:t xml:space="preserve"> complete the training not later than the 60th day after </w:t>
            </w:r>
            <w:r w:rsidRPr="008B5446">
              <w:t xml:space="preserve">the date </w:t>
            </w:r>
            <w:r>
              <w:t>of receipt</w:t>
            </w:r>
            <w:r w:rsidRPr="008B5446">
              <w:t>.</w:t>
            </w:r>
          </w:p>
          <w:p w14:paraId="50F43EFC" w14:textId="77777777" w:rsidR="008423E4" w:rsidRPr="00835628" w:rsidRDefault="008423E4" w:rsidP="00A22D38">
            <w:pPr>
              <w:rPr>
                <w:b/>
              </w:rPr>
            </w:pPr>
          </w:p>
        </w:tc>
      </w:tr>
      <w:tr w:rsidR="0079107E" w14:paraId="7334B104" w14:textId="77777777" w:rsidTr="00345119">
        <w:tc>
          <w:tcPr>
            <w:tcW w:w="9576" w:type="dxa"/>
          </w:tcPr>
          <w:p w14:paraId="259644C6" w14:textId="77777777" w:rsidR="008423E4" w:rsidRPr="00A8133F" w:rsidRDefault="00B57AA9" w:rsidP="00A22D3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0D926BD" w14:textId="77777777" w:rsidR="008423E4" w:rsidRDefault="008423E4" w:rsidP="00A22D38"/>
          <w:p w14:paraId="75AFED16" w14:textId="6778E4B4" w:rsidR="008423E4" w:rsidRPr="003624F2" w:rsidRDefault="00B57AA9" w:rsidP="00A22D3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79274951" w14:textId="77777777" w:rsidR="008423E4" w:rsidRPr="00233FDB" w:rsidRDefault="008423E4" w:rsidP="00A22D38">
            <w:pPr>
              <w:rPr>
                <w:b/>
              </w:rPr>
            </w:pPr>
          </w:p>
        </w:tc>
      </w:tr>
      <w:tr w:rsidR="0079107E" w14:paraId="51940B07" w14:textId="77777777" w:rsidTr="00345119">
        <w:tc>
          <w:tcPr>
            <w:tcW w:w="9576" w:type="dxa"/>
          </w:tcPr>
          <w:p w14:paraId="5B8FED11" w14:textId="77777777" w:rsidR="00035C1D" w:rsidRDefault="00B57AA9" w:rsidP="00A22D38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0ECD47BB" w14:textId="77777777" w:rsidR="00351AB4" w:rsidRDefault="00351AB4" w:rsidP="00A22D38">
            <w:pPr>
              <w:jc w:val="both"/>
            </w:pPr>
          </w:p>
          <w:p w14:paraId="2ADB7779" w14:textId="0FDDC105" w:rsidR="00351AB4" w:rsidRDefault="00B57AA9" w:rsidP="00A22D38">
            <w:pPr>
              <w:jc w:val="both"/>
            </w:pPr>
            <w:r>
              <w:t xml:space="preserve">While C.S.H.B. 3033 may differ from the introduced in minor or nonsubstantive ways, the following summarizes the substantial differences between the </w:t>
            </w:r>
            <w:r>
              <w:t>introduced and committee substitute versions of the bill.</w:t>
            </w:r>
          </w:p>
          <w:p w14:paraId="49429B4E" w14:textId="1BD7B2E0" w:rsidR="0064079B" w:rsidRDefault="0064079B" w:rsidP="00A22D38">
            <w:pPr>
              <w:jc w:val="both"/>
            </w:pPr>
          </w:p>
          <w:p w14:paraId="3CF5F43F" w14:textId="2137C8B0" w:rsidR="0064079B" w:rsidRDefault="00B57AA9" w:rsidP="00A22D38">
            <w:pPr>
              <w:jc w:val="both"/>
            </w:pPr>
            <w:r>
              <w:t xml:space="preserve">The substitute </w:t>
            </w:r>
            <w:r w:rsidR="0036122D">
              <w:t>does not include</w:t>
            </w:r>
            <w:r>
              <w:t xml:space="preserve"> the provision from the introduced shortening the </w:t>
            </w:r>
            <w:r w:rsidRPr="00A62D5D">
              <w:t>response period</w:t>
            </w:r>
            <w:r>
              <w:t xml:space="preserve"> for the attorney general with respect to a request by a governmental body to withhold information un</w:t>
            </w:r>
            <w:r>
              <w:t>der state public information law by changing the deadline for the attorney general to render a decision on the matter from the 45th business day after the date the attorney general received the request to the 30th business day after that date.</w:t>
            </w:r>
          </w:p>
          <w:p w14:paraId="4B6B1FA3" w14:textId="2EDFD5C8" w:rsidR="002D356A" w:rsidRDefault="002D356A" w:rsidP="00A22D38">
            <w:pPr>
              <w:jc w:val="both"/>
            </w:pPr>
          </w:p>
          <w:p w14:paraId="5C1926E8" w14:textId="5309F9C7" w:rsidR="002D356A" w:rsidRDefault="00B57AA9" w:rsidP="00A22D38">
            <w:pPr>
              <w:jc w:val="both"/>
            </w:pPr>
            <w:r>
              <w:t>Whereas the</w:t>
            </w:r>
            <w:r>
              <w:t xml:space="preserve"> introduced required a governmental body</w:t>
            </w:r>
            <w:r w:rsidRPr="002D356A">
              <w:t>, as soon as practicable but not later than the 15th day after the date the attorney general's decision is issued</w:t>
            </w:r>
            <w:r>
              <w:t xml:space="preserve"> following such a request</w:t>
            </w:r>
            <w:r w:rsidRPr="002D356A">
              <w:t xml:space="preserve">, to either produce the requested information or notify the person requesting </w:t>
            </w:r>
            <w:r w:rsidRPr="002D356A">
              <w:t>the information in writing that the information is authorized to be withheld, as applicable depending on the decision issued</w:t>
            </w:r>
            <w:r>
              <w:t>,</w:t>
            </w:r>
            <w:r w:rsidR="00B6787D">
              <w:t xml:space="preserve"> </w:t>
            </w:r>
            <w:r>
              <w:t>t</w:t>
            </w:r>
            <w:r w:rsidR="00B6787D">
              <w:t xml:space="preserve">he substitute </w:t>
            </w:r>
            <w:r>
              <w:t xml:space="preserve">includes this provision but </w:t>
            </w:r>
            <w:r w:rsidR="00B6787D">
              <w:t xml:space="preserve">revises </w:t>
            </w:r>
            <w:r>
              <w:t xml:space="preserve">it </w:t>
            </w:r>
            <w:r w:rsidR="00B6787D">
              <w:t>to change the deadline for action following the response from the attorney general from 15 days</w:t>
            </w:r>
            <w:r>
              <w:t>, as in the introduced,</w:t>
            </w:r>
            <w:r w:rsidR="00B6787D">
              <w:t xml:space="preserve"> to 30 days and to include the following among the required actions prior to that deadline, if applicable:</w:t>
            </w:r>
          </w:p>
          <w:p w14:paraId="40FC4EC2" w14:textId="4A011FC1" w:rsidR="00B6787D" w:rsidRDefault="00B57AA9" w:rsidP="00A22D38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 w:rsidRPr="00B6787D">
              <w:t>provid</w:t>
            </w:r>
            <w:r>
              <w:t>ing</w:t>
            </w:r>
            <w:r w:rsidRPr="00B6787D">
              <w:t xml:space="preserve"> the requestor of the information an itemized estimate of charges for production of the informatio</w:t>
            </w:r>
            <w:r w:rsidRPr="00B6787D">
              <w:t>n</w:t>
            </w:r>
            <w:r>
              <w:t>,</w:t>
            </w:r>
            <w:r w:rsidRPr="00B6787D">
              <w:t xml:space="preserve"> if the estimate is required</w:t>
            </w:r>
            <w:r>
              <w:t xml:space="preserve"> by law; and</w:t>
            </w:r>
          </w:p>
          <w:p w14:paraId="282C1BE9" w14:textId="47F37217" w:rsidR="00B6787D" w:rsidRDefault="00B57AA9" w:rsidP="00A22D38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 w:rsidRPr="00B6787D">
              <w:t>notif</w:t>
            </w:r>
            <w:r>
              <w:t>ying</w:t>
            </w:r>
            <w:r w:rsidRPr="00B6787D">
              <w:t xml:space="preserve"> the requestor in writing that the governmental body has filed suit against the attorney general regarding the information</w:t>
            </w:r>
            <w:r>
              <w:t>.</w:t>
            </w:r>
          </w:p>
          <w:p w14:paraId="08C3E578" w14:textId="1ABC6343" w:rsidR="0064079B" w:rsidRDefault="0064079B" w:rsidP="00A22D38">
            <w:pPr>
              <w:jc w:val="both"/>
            </w:pPr>
          </w:p>
          <w:p w14:paraId="4838AF32" w14:textId="0DDB2B04" w:rsidR="0064079B" w:rsidRDefault="00B57AA9" w:rsidP="00A22D38">
            <w:pPr>
              <w:jc w:val="both"/>
            </w:pPr>
            <w:r>
              <w:t xml:space="preserve">The substitute includes provisions absent from the introduced </w:t>
            </w:r>
            <w:r w:rsidR="002D356A">
              <w:t>relating to</w:t>
            </w:r>
            <w:r>
              <w:t xml:space="preserve"> the following:</w:t>
            </w:r>
          </w:p>
          <w:p w14:paraId="0853DA59" w14:textId="51248DE2" w:rsidR="0064079B" w:rsidRDefault="00B57AA9" w:rsidP="00A22D38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>
              <w:t xml:space="preserve">a requirement for a </w:t>
            </w:r>
            <w:r w:rsidR="0036122D">
              <w:t>request</w:t>
            </w:r>
            <w:r>
              <w:t xml:space="preserve"> for such an at</w:t>
            </w:r>
            <w:r>
              <w:t>torney general decision to be submitted electronically, with certain exceptions</w:t>
            </w:r>
            <w:r w:rsidR="00D371FE">
              <w:t>, and an authorization for the attorney general to adopt rules necessary to implement electronic submission of a request;</w:t>
            </w:r>
          </w:p>
          <w:p w14:paraId="5F371CC5" w14:textId="1707D7F2" w:rsidR="002D356A" w:rsidRDefault="00B57AA9" w:rsidP="00A22D38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>
              <w:t>a requirement</w:t>
            </w:r>
            <w:r w:rsidRPr="002D356A">
              <w:t>, with respect to the exception from requi</w:t>
            </w:r>
            <w:r w:rsidRPr="002D356A">
              <w:t xml:space="preserve">red disclosure for certain law enforcement, corrections, and prosecutorial information, </w:t>
            </w:r>
            <w:r>
              <w:t>that</w:t>
            </w:r>
            <w:r w:rsidRPr="002D356A">
              <w:t xml:space="preserve"> a governmental body promptly release basic information responsive to a public information request unless the governmental body seeks to withhold the information as</w:t>
            </w:r>
            <w:r w:rsidRPr="002D356A">
              <w:t xml:space="preserve"> provided by another provision of state public information law, and regardless of whether the governmental body requests an attorney general decision regarding other information subject to the request</w:t>
            </w:r>
            <w:r>
              <w:t>; and</w:t>
            </w:r>
          </w:p>
          <w:p w14:paraId="4615E8E2" w14:textId="6F4832F2" w:rsidR="00351AB4" w:rsidRPr="00351AB4" w:rsidRDefault="00B57AA9" w:rsidP="00A22D38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>
              <w:t>an authorization for the attorney general to requi</w:t>
            </w:r>
            <w:r>
              <w:t>re each public official of a governmental body to complete an open records training course if the governmental body has failed to comply with a requirement of state public information law.</w:t>
            </w:r>
          </w:p>
        </w:tc>
      </w:tr>
      <w:tr w:rsidR="0079107E" w14:paraId="35C6E151" w14:textId="77777777" w:rsidTr="00345119">
        <w:tc>
          <w:tcPr>
            <w:tcW w:w="9576" w:type="dxa"/>
          </w:tcPr>
          <w:p w14:paraId="1181A5EB" w14:textId="77777777" w:rsidR="00035C1D" w:rsidRPr="009C1E9A" w:rsidRDefault="00035C1D" w:rsidP="00A22D38">
            <w:pPr>
              <w:rPr>
                <w:b/>
                <w:u w:val="single"/>
              </w:rPr>
            </w:pPr>
          </w:p>
        </w:tc>
      </w:tr>
      <w:tr w:rsidR="0079107E" w14:paraId="0F6EEDA5" w14:textId="77777777" w:rsidTr="00345119">
        <w:tc>
          <w:tcPr>
            <w:tcW w:w="9576" w:type="dxa"/>
          </w:tcPr>
          <w:p w14:paraId="15419146" w14:textId="77777777" w:rsidR="00035C1D" w:rsidRPr="00035C1D" w:rsidRDefault="00035C1D" w:rsidP="00A22D38">
            <w:pPr>
              <w:jc w:val="both"/>
            </w:pPr>
          </w:p>
        </w:tc>
      </w:tr>
    </w:tbl>
    <w:p w14:paraId="4777EBC0" w14:textId="77777777" w:rsidR="008423E4" w:rsidRPr="00BE0E75" w:rsidRDefault="008423E4" w:rsidP="00A22D38">
      <w:pPr>
        <w:jc w:val="both"/>
        <w:rPr>
          <w:rFonts w:ascii="Arial" w:hAnsi="Arial"/>
          <w:sz w:val="16"/>
          <w:szCs w:val="16"/>
        </w:rPr>
      </w:pPr>
    </w:p>
    <w:p w14:paraId="5E9C03FB" w14:textId="77777777" w:rsidR="004108C3" w:rsidRPr="008423E4" w:rsidRDefault="004108C3" w:rsidP="00A22D38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E83C8" w14:textId="77777777" w:rsidR="00000000" w:rsidRDefault="00B57AA9">
      <w:r>
        <w:separator/>
      </w:r>
    </w:p>
  </w:endnote>
  <w:endnote w:type="continuationSeparator" w:id="0">
    <w:p w14:paraId="0385F13E" w14:textId="77777777" w:rsidR="00000000" w:rsidRDefault="00B57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FDDC" w14:textId="77777777" w:rsidR="00456A9A" w:rsidRDefault="00456A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9107E" w14:paraId="47170C4E" w14:textId="77777777" w:rsidTr="009C1E9A">
      <w:trPr>
        <w:cantSplit/>
      </w:trPr>
      <w:tc>
        <w:tcPr>
          <w:tcW w:w="0" w:type="pct"/>
        </w:tcPr>
        <w:p w14:paraId="4F9FAC6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BA52CB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AB0CDF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BD9FE4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4FDC90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9107E" w14:paraId="222636C2" w14:textId="77777777" w:rsidTr="009C1E9A">
      <w:trPr>
        <w:cantSplit/>
      </w:trPr>
      <w:tc>
        <w:tcPr>
          <w:tcW w:w="0" w:type="pct"/>
        </w:tcPr>
        <w:p w14:paraId="5A3FEDA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18D9116" w14:textId="6C792DF2" w:rsidR="00EC379B" w:rsidRPr="009C1E9A" w:rsidRDefault="00B57AA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24148-D</w:t>
          </w:r>
        </w:p>
      </w:tc>
      <w:tc>
        <w:tcPr>
          <w:tcW w:w="2453" w:type="pct"/>
        </w:tcPr>
        <w:p w14:paraId="0F03DC47" w14:textId="40C01FDC" w:rsidR="00EC379B" w:rsidRDefault="00B57AA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586B76">
            <w:t>23.107.1610</w:t>
          </w:r>
          <w:r>
            <w:fldChar w:fldCharType="end"/>
          </w:r>
        </w:p>
      </w:tc>
    </w:tr>
    <w:tr w:rsidR="0079107E" w14:paraId="17622275" w14:textId="77777777" w:rsidTr="009C1E9A">
      <w:trPr>
        <w:cantSplit/>
      </w:trPr>
      <w:tc>
        <w:tcPr>
          <w:tcW w:w="0" w:type="pct"/>
        </w:tcPr>
        <w:p w14:paraId="2F0F7556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F153B4E" w14:textId="79CBC4F4" w:rsidR="00EC379B" w:rsidRPr="009C1E9A" w:rsidRDefault="00B57AA9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20151</w:t>
          </w:r>
        </w:p>
      </w:tc>
      <w:tc>
        <w:tcPr>
          <w:tcW w:w="2453" w:type="pct"/>
        </w:tcPr>
        <w:p w14:paraId="6C91221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6D57E7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9107E" w14:paraId="142D8A2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AD099F4" w14:textId="77777777" w:rsidR="00EC379B" w:rsidRDefault="00B57AA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FAEE90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219DC40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4145C" w14:textId="77777777" w:rsidR="00456A9A" w:rsidRDefault="00456A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0D671" w14:textId="77777777" w:rsidR="00000000" w:rsidRDefault="00B57AA9">
      <w:r>
        <w:separator/>
      </w:r>
    </w:p>
  </w:footnote>
  <w:footnote w:type="continuationSeparator" w:id="0">
    <w:p w14:paraId="226FEEE7" w14:textId="77777777" w:rsidR="00000000" w:rsidRDefault="00B57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7C30F" w14:textId="77777777" w:rsidR="00456A9A" w:rsidRDefault="00456A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4980B" w14:textId="77777777" w:rsidR="00456A9A" w:rsidRDefault="00456A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90949" w14:textId="77777777" w:rsidR="00456A9A" w:rsidRDefault="00456A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D3587"/>
    <w:multiLevelType w:val="hybridMultilevel"/>
    <w:tmpl w:val="85AEE96C"/>
    <w:lvl w:ilvl="0" w:tplc="CFF48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2EA3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6EED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AEB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5498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623F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0493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A82A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32F4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F22EC"/>
    <w:multiLevelType w:val="hybridMultilevel"/>
    <w:tmpl w:val="BC2A405E"/>
    <w:lvl w:ilvl="0" w:tplc="D01C44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1624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F8FB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34B9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282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6679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385D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483E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B888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9188F"/>
    <w:multiLevelType w:val="hybridMultilevel"/>
    <w:tmpl w:val="99606B32"/>
    <w:lvl w:ilvl="0" w:tplc="007005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F490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A6D5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D83E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DEE7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2261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3A1D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7AEE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80FC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E7310"/>
    <w:multiLevelType w:val="hybridMultilevel"/>
    <w:tmpl w:val="FA3C84C6"/>
    <w:lvl w:ilvl="0" w:tplc="E82C83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9E62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4CE3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D242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9872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6EE9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0052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FEF3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80E5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80374">
    <w:abstractNumId w:val="2"/>
  </w:num>
  <w:num w:numId="2" w16cid:durableId="2040274296">
    <w:abstractNumId w:val="1"/>
  </w:num>
  <w:num w:numId="3" w16cid:durableId="1356230331">
    <w:abstractNumId w:val="3"/>
  </w:num>
  <w:num w:numId="4" w16cid:durableId="1887569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FD7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1FD7"/>
    <w:rsid w:val="000330D4"/>
    <w:rsid w:val="0003572D"/>
    <w:rsid w:val="00035C1D"/>
    <w:rsid w:val="00035DB0"/>
    <w:rsid w:val="00037088"/>
    <w:rsid w:val="000400D5"/>
    <w:rsid w:val="000403BA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379A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6352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0A64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1E96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356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6F90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1AB4"/>
    <w:rsid w:val="003523BD"/>
    <w:rsid w:val="00352681"/>
    <w:rsid w:val="003536AA"/>
    <w:rsid w:val="003544CE"/>
    <w:rsid w:val="00355A98"/>
    <w:rsid w:val="00355D7E"/>
    <w:rsid w:val="003568DE"/>
    <w:rsid w:val="00357CA1"/>
    <w:rsid w:val="0036122D"/>
    <w:rsid w:val="00361FE9"/>
    <w:rsid w:val="003624F2"/>
    <w:rsid w:val="00363854"/>
    <w:rsid w:val="00364315"/>
    <w:rsid w:val="003643E2"/>
    <w:rsid w:val="00370155"/>
    <w:rsid w:val="003712D5"/>
    <w:rsid w:val="00371567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0C9E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53B5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56A9A"/>
    <w:rsid w:val="004577DC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1C9F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6B7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2DD6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4B91"/>
    <w:rsid w:val="006272DD"/>
    <w:rsid w:val="00630963"/>
    <w:rsid w:val="00631897"/>
    <w:rsid w:val="00632928"/>
    <w:rsid w:val="006330DA"/>
    <w:rsid w:val="00633262"/>
    <w:rsid w:val="00633460"/>
    <w:rsid w:val="006402E7"/>
    <w:rsid w:val="0064079B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2BA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16DA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107E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E5EA9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87ADA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5446"/>
    <w:rsid w:val="008B7785"/>
    <w:rsid w:val="008B79F2"/>
    <w:rsid w:val="008C0809"/>
    <w:rsid w:val="008C132C"/>
    <w:rsid w:val="008C3FD0"/>
    <w:rsid w:val="008C7B01"/>
    <w:rsid w:val="008D27A5"/>
    <w:rsid w:val="008D2AAB"/>
    <w:rsid w:val="008D309C"/>
    <w:rsid w:val="008D58F9"/>
    <w:rsid w:val="008D7427"/>
    <w:rsid w:val="008E3338"/>
    <w:rsid w:val="008E47BE"/>
    <w:rsid w:val="008E6BEA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6DE4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00CC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3E15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2D38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2D5D"/>
    <w:rsid w:val="00A6344D"/>
    <w:rsid w:val="00A644B8"/>
    <w:rsid w:val="00A661A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26F"/>
    <w:rsid w:val="00B25612"/>
    <w:rsid w:val="00B26437"/>
    <w:rsid w:val="00B2678E"/>
    <w:rsid w:val="00B30647"/>
    <w:rsid w:val="00B31F0E"/>
    <w:rsid w:val="00B34F25"/>
    <w:rsid w:val="00B4053D"/>
    <w:rsid w:val="00B43672"/>
    <w:rsid w:val="00B473D8"/>
    <w:rsid w:val="00B5165A"/>
    <w:rsid w:val="00B524C1"/>
    <w:rsid w:val="00B52C8D"/>
    <w:rsid w:val="00B564BF"/>
    <w:rsid w:val="00B57AA9"/>
    <w:rsid w:val="00B6104E"/>
    <w:rsid w:val="00B610C7"/>
    <w:rsid w:val="00B62106"/>
    <w:rsid w:val="00B626A8"/>
    <w:rsid w:val="00B65695"/>
    <w:rsid w:val="00B66526"/>
    <w:rsid w:val="00B665A3"/>
    <w:rsid w:val="00B6787D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8B8"/>
    <w:rsid w:val="00BC4E34"/>
    <w:rsid w:val="00BC51D0"/>
    <w:rsid w:val="00BC5633"/>
    <w:rsid w:val="00BC58E1"/>
    <w:rsid w:val="00BC59CA"/>
    <w:rsid w:val="00BC6462"/>
    <w:rsid w:val="00BC6B5A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8DB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850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0F5B"/>
    <w:rsid w:val="00CB257D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6747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1FE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1C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2B50"/>
    <w:rsid w:val="00FB442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5B246C1-AB61-4236-9184-429A03E7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E5EA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E5E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E5EA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5E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5EA9"/>
    <w:rPr>
      <w:b/>
      <w:bCs/>
    </w:rPr>
  </w:style>
  <w:style w:type="paragraph" w:styleId="Revision">
    <w:name w:val="Revision"/>
    <w:hidden/>
    <w:uiPriority w:val="99"/>
    <w:semiHidden/>
    <w:rsid w:val="00250A6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40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1254</Words>
  <Characters>6930</Characters>
  <Application>Microsoft Office Word</Application>
  <DocSecurity>4</DocSecurity>
  <Lines>134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HB03033 (Committee Report (Substituted))</vt:lpstr>
    </vt:vector>
  </TitlesOfParts>
  <Company>State of Texas</Company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24148</dc:subject>
  <dc:creator>State of Texas</dc:creator>
  <dc:description>HB 3033 by Landgraf-(H)State Affairs (Substitute Document Number: 88R 20151)</dc:description>
  <cp:lastModifiedBy>Stacey Nicchio</cp:lastModifiedBy>
  <cp:revision>2</cp:revision>
  <cp:lastPrinted>2003-11-26T17:21:00Z</cp:lastPrinted>
  <dcterms:created xsi:type="dcterms:W3CDTF">2023-04-27T18:43:00Z</dcterms:created>
  <dcterms:modified xsi:type="dcterms:W3CDTF">2023-04-27T18:43:00Z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23.107.1610</vt:lpwstr>
  </property>
</Properties>
</file>