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A0DEB" w14:paraId="1E75817B" w14:textId="77777777" w:rsidTr="00345119">
        <w:tc>
          <w:tcPr>
            <w:tcW w:w="9576" w:type="dxa"/>
            <w:noWrap/>
          </w:tcPr>
          <w:p w14:paraId="05B57C7D" w14:textId="77777777" w:rsidR="008423E4" w:rsidRPr="0022177D" w:rsidRDefault="00002EBA" w:rsidP="00147724">
            <w:pPr>
              <w:pStyle w:val="Heading1"/>
            </w:pPr>
            <w:r w:rsidRPr="00631897">
              <w:t>BILL ANALYSIS</w:t>
            </w:r>
          </w:p>
        </w:tc>
      </w:tr>
    </w:tbl>
    <w:p w14:paraId="1CF51CC2" w14:textId="77777777" w:rsidR="008423E4" w:rsidRPr="0022177D" w:rsidRDefault="008423E4" w:rsidP="00147724">
      <w:pPr>
        <w:jc w:val="center"/>
      </w:pPr>
    </w:p>
    <w:p w14:paraId="025D067D" w14:textId="77777777" w:rsidR="008423E4" w:rsidRPr="00B31F0E" w:rsidRDefault="008423E4" w:rsidP="00147724"/>
    <w:p w14:paraId="45CE8BE1" w14:textId="77777777" w:rsidR="008423E4" w:rsidRPr="00742794" w:rsidRDefault="008423E4" w:rsidP="0014772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0DEB" w14:paraId="62CE83ED" w14:textId="77777777" w:rsidTr="00345119">
        <w:tc>
          <w:tcPr>
            <w:tcW w:w="9576" w:type="dxa"/>
          </w:tcPr>
          <w:p w14:paraId="1FD8FF80" w14:textId="7EEA85AB" w:rsidR="008423E4" w:rsidRPr="00861995" w:rsidRDefault="00002EBA" w:rsidP="00147724">
            <w:pPr>
              <w:jc w:val="right"/>
            </w:pPr>
            <w:r>
              <w:t>H.B. 3058</w:t>
            </w:r>
          </w:p>
        </w:tc>
      </w:tr>
      <w:tr w:rsidR="00EA0DEB" w14:paraId="72D3BCB1" w14:textId="77777777" w:rsidTr="00345119">
        <w:tc>
          <w:tcPr>
            <w:tcW w:w="9576" w:type="dxa"/>
          </w:tcPr>
          <w:p w14:paraId="27A7FE4E" w14:textId="09CAD0A8" w:rsidR="008423E4" w:rsidRPr="00861995" w:rsidRDefault="00002EBA" w:rsidP="00147724">
            <w:pPr>
              <w:jc w:val="right"/>
            </w:pPr>
            <w:r>
              <w:t xml:space="preserve">By: </w:t>
            </w:r>
            <w:r w:rsidR="008B358F">
              <w:t>Johnson, Ann</w:t>
            </w:r>
          </w:p>
        </w:tc>
      </w:tr>
      <w:tr w:rsidR="00EA0DEB" w14:paraId="11E3ADC9" w14:textId="77777777" w:rsidTr="00345119">
        <w:tc>
          <w:tcPr>
            <w:tcW w:w="9576" w:type="dxa"/>
          </w:tcPr>
          <w:p w14:paraId="3FFAC1A5" w14:textId="1163E0EB" w:rsidR="008423E4" w:rsidRPr="00861995" w:rsidRDefault="00002EBA" w:rsidP="00147724">
            <w:pPr>
              <w:jc w:val="right"/>
            </w:pPr>
            <w:r>
              <w:t>Judiciary &amp; Civil Jurisprudence</w:t>
            </w:r>
          </w:p>
        </w:tc>
      </w:tr>
      <w:tr w:rsidR="00EA0DEB" w14:paraId="0D557648" w14:textId="77777777" w:rsidTr="00345119">
        <w:tc>
          <w:tcPr>
            <w:tcW w:w="9576" w:type="dxa"/>
          </w:tcPr>
          <w:p w14:paraId="668EBF80" w14:textId="2E69651B" w:rsidR="008423E4" w:rsidRDefault="00002EBA" w:rsidP="00147724">
            <w:pPr>
              <w:jc w:val="right"/>
            </w:pPr>
            <w:r>
              <w:t>Committee Report (Unamended)</w:t>
            </w:r>
          </w:p>
        </w:tc>
      </w:tr>
    </w:tbl>
    <w:p w14:paraId="22A76766" w14:textId="77777777" w:rsidR="008423E4" w:rsidRDefault="008423E4" w:rsidP="00147724">
      <w:pPr>
        <w:tabs>
          <w:tab w:val="right" w:pos="9360"/>
        </w:tabs>
      </w:pPr>
    </w:p>
    <w:p w14:paraId="0B367339" w14:textId="77777777" w:rsidR="008423E4" w:rsidRDefault="008423E4" w:rsidP="00147724"/>
    <w:p w14:paraId="42EF09E7" w14:textId="77777777" w:rsidR="008423E4" w:rsidRDefault="008423E4" w:rsidP="0014772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A0DEB" w14:paraId="228EBCA0" w14:textId="77777777" w:rsidTr="00345119">
        <w:tc>
          <w:tcPr>
            <w:tcW w:w="9576" w:type="dxa"/>
          </w:tcPr>
          <w:p w14:paraId="675BC599" w14:textId="77777777" w:rsidR="008423E4" w:rsidRPr="00A8133F" w:rsidRDefault="00002EBA" w:rsidP="001477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6B860E3" w14:textId="77777777" w:rsidR="008423E4" w:rsidRDefault="008423E4" w:rsidP="00147724"/>
          <w:p w14:paraId="2A69CA4B" w14:textId="246BC64C" w:rsidR="008423E4" w:rsidRDefault="00002EBA" w:rsidP="00147724">
            <w:pPr>
              <w:pStyle w:val="Header"/>
              <w:jc w:val="both"/>
            </w:pPr>
            <w:r>
              <w:t xml:space="preserve">There is some confusion surrounding </w:t>
            </w:r>
            <w:r w:rsidR="001907A2">
              <w:t xml:space="preserve">the </w:t>
            </w:r>
            <w:r>
              <w:t xml:space="preserve">liability </w:t>
            </w:r>
            <w:r w:rsidR="001907A2">
              <w:t xml:space="preserve">of </w:t>
            </w:r>
            <w:r>
              <w:t xml:space="preserve">a physician engaged in a physician-patient relationship who is providing </w:t>
            </w:r>
            <w:r w:rsidR="001907A2">
              <w:t xml:space="preserve">a </w:t>
            </w:r>
            <w:r>
              <w:t>medically necessary service. H.B.</w:t>
            </w:r>
            <w:r w:rsidR="001E3775">
              <w:t> </w:t>
            </w:r>
            <w:r>
              <w:t>3058 seeks to address this</w:t>
            </w:r>
            <w:r w:rsidR="001907A2">
              <w:t xml:space="preserve"> issue</w:t>
            </w:r>
            <w:r>
              <w:t xml:space="preserve"> by clarifying that if a physician performs a medically necessary service for a patient with whom the physician has</w:t>
            </w:r>
            <w:r>
              <w:t xml:space="preserve"> a physician-patient relationship and for which the patient has given informed consent</w:t>
            </w:r>
            <w:r w:rsidR="00B3713A">
              <w:t xml:space="preserve"> in compliance with current state law</w:t>
            </w:r>
            <w:r>
              <w:t xml:space="preserve">, the physician may not be held liable solely for performing the service. Nothing in the legislation </w:t>
            </w:r>
            <w:r w:rsidR="001907A2">
              <w:t>exempts</w:t>
            </w:r>
            <w:r>
              <w:t xml:space="preserve"> a physician from liabili</w:t>
            </w:r>
            <w:r>
              <w:t xml:space="preserve">ty for negligence or gross negligence, provided that the other requirements of </w:t>
            </w:r>
            <w:r w:rsidR="001907A2">
              <w:t>the law</w:t>
            </w:r>
            <w:r>
              <w:t xml:space="preserve"> with respect to health care liability claims are satisfied. </w:t>
            </w:r>
          </w:p>
          <w:p w14:paraId="37827351" w14:textId="77777777" w:rsidR="008423E4" w:rsidRPr="00E26B13" w:rsidRDefault="008423E4" w:rsidP="00147724">
            <w:pPr>
              <w:rPr>
                <w:b/>
              </w:rPr>
            </w:pPr>
          </w:p>
        </w:tc>
      </w:tr>
      <w:tr w:rsidR="00EA0DEB" w14:paraId="0522EF81" w14:textId="77777777" w:rsidTr="00345119">
        <w:tc>
          <w:tcPr>
            <w:tcW w:w="9576" w:type="dxa"/>
          </w:tcPr>
          <w:p w14:paraId="58E70391" w14:textId="04FDA46B" w:rsidR="0017725B" w:rsidRDefault="00002EBA" w:rsidP="00147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80A96B" w14:textId="77777777" w:rsidR="0017725B" w:rsidRDefault="0017725B" w:rsidP="00147724">
            <w:pPr>
              <w:rPr>
                <w:b/>
                <w:u w:val="single"/>
              </w:rPr>
            </w:pPr>
          </w:p>
          <w:p w14:paraId="0D23838F" w14:textId="77777777" w:rsidR="0017725B" w:rsidRDefault="00002EBA" w:rsidP="00147724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2E441694" w14:textId="23EB18CF" w:rsidR="00147724" w:rsidRPr="0017725B" w:rsidRDefault="00147724" w:rsidP="00147724">
            <w:pPr>
              <w:jc w:val="both"/>
              <w:rPr>
                <w:b/>
                <w:u w:val="single"/>
              </w:rPr>
            </w:pPr>
          </w:p>
        </w:tc>
      </w:tr>
      <w:tr w:rsidR="00EA0DEB" w14:paraId="1368E01B" w14:textId="77777777" w:rsidTr="00345119">
        <w:tc>
          <w:tcPr>
            <w:tcW w:w="9576" w:type="dxa"/>
          </w:tcPr>
          <w:p w14:paraId="284AE322" w14:textId="77777777" w:rsidR="008423E4" w:rsidRPr="00A8133F" w:rsidRDefault="00002EBA" w:rsidP="001477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F85CD3" w14:textId="77777777" w:rsidR="008423E4" w:rsidRDefault="008423E4" w:rsidP="00147724"/>
          <w:p w14:paraId="470A4BB6" w14:textId="77777777" w:rsidR="008423E4" w:rsidRDefault="00002EBA" w:rsidP="001477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4EB51163" w14:textId="2637D59A" w:rsidR="00147724" w:rsidRPr="00E21FDC" w:rsidRDefault="00147724" w:rsidP="001477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A0DEB" w14:paraId="2B2F279A" w14:textId="77777777" w:rsidTr="00345119">
        <w:tc>
          <w:tcPr>
            <w:tcW w:w="9576" w:type="dxa"/>
          </w:tcPr>
          <w:p w14:paraId="396A16D1" w14:textId="77777777" w:rsidR="008423E4" w:rsidRPr="00A8133F" w:rsidRDefault="00002EBA" w:rsidP="001477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FA33CE" w14:textId="77777777" w:rsidR="008423E4" w:rsidRDefault="008423E4" w:rsidP="00147724"/>
          <w:p w14:paraId="5E1DC32B" w14:textId="047BFF69" w:rsidR="00143BDC" w:rsidRDefault="00002EBA" w:rsidP="00147724">
            <w:pPr>
              <w:pStyle w:val="Header"/>
              <w:tabs>
                <w:tab w:val="clear" w:pos="4320"/>
                <w:tab w:val="clear" w:pos="8640"/>
                <w:tab w:val="left" w:pos="6960"/>
              </w:tabs>
              <w:jc w:val="both"/>
            </w:pPr>
            <w:r>
              <w:t xml:space="preserve">H.B. 3058 amends the </w:t>
            </w:r>
            <w:r w:rsidRPr="00DE6A7E">
              <w:t>Civil Practice and Remedies Code</w:t>
            </w:r>
            <w:r>
              <w:t xml:space="preserve"> to exempt </w:t>
            </w:r>
            <w:r w:rsidRPr="00DE6A7E">
              <w:t xml:space="preserve">a physician engaged in a </w:t>
            </w:r>
            <w:r w:rsidRPr="00DE6A7E">
              <w:t>physician-patient relationship</w:t>
            </w:r>
            <w:r>
              <w:t xml:space="preserve"> from liability </w:t>
            </w:r>
            <w:r w:rsidRPr="00DE6A7E">
              <w:t xml:space="preserve">in a proceeding conducted under </w:t>
            </w:r>
            <w:r>
              <w:t xml:space="preserve">state </w:t>
            </w:r>
            <w:r w:rsidRPr="00DE6A7E">
              <w:t xml:space="preserve">laws solely for providing medically necessary services to the patient if the physician complies with </w:t>
            </w:r>
            <w:r>
              <w:t>informed consent laws</w:t>
            </w:r>
            <w:r w:rsidRPr="00DE6A7E">
              <w:t xml:space="preserve"> and the patient consents to the services.</w:t>
            </w:r>
          </w:p>
          <w:p w14:paraId="0310BE0C" w14:textId="77777777" w:rsidR="00143BDC" w:rsidRDefault="00143BDC" w:rsidP="00147724">
            <w:pPr>
              <w:pStyle w:val="Header"/>
              <w:tabs>
                <w:tab w:val="clear" w:pos="4320"/>
                <w:tab w:val="clear" w:pos="8640"/>
                <w:tab w:val="left" w:pos="6960"/>
              </w:tabs>
              <w:jc w:val="both"/>
            </w:pPr>
          </w:p>
          <w:p w14:paraId="4534F1D1" w14:textId="4FE5E780" w:rsidR="00143BDC" w:rsidRDefault="00002EBA" w:rsidP="00147724">
            <w:pPr>
              <w:pStyle w:val="Header"/>
              <w:tabs>
                <w:tab w:val="left" w:pos="6960"/>
              </w:tabs>
              <w:jc w:val="both"/>
            </w:pPr>
            <w:r>
              <w:t>H.B. 3</w:t>
            </w:r>
            <w:r>
              <w:t>058 defines "medically necessary" as medical services that are supported by documentation which show the services are:</w:t>
            </w:r>
          </w:p>
          <w:p w14:paraId="423E9E16" w14:textId="6A8B28B6" w:rsidR="00143BDC" w:rsidRDefault="00002EBA" w:rsidP="00147724">
            <w:pPr>
              <w:pStyle w:val="Header"/>
              <w:numPr>
                <w:ilvl w:val="0"/>
                <w:numId w:val="1"/>
              </w:numPr>
              <w:tabs>
                <w:tab w:val="left" w:pos="6960"/>
              </w:tabs>
              <w:jc w:val="both"/>
            </w:pPr>
            <w:r>
              <w:t xml:space="preserve">reasonable and necessary to prevent illness, medical, or dental conditions, or provide early screening, interventions, or treatments for </w:t>
            </w:r>
            <w:r>
              <w:t>conditions that cause suffering or pain, cause physical deformity or limitations in function, threaten to cause or worsen a disability, cause illness or infirmity of a patient, or endanger the patient</w:t>
            </w:r>
            <w:r w:rsidR="001E3775">
              <w:t>'</w:t>
            </w:r>
            <w:r>
              <w:t>s life;</w:t>
            </w:r>
          </w:p>
          <w:p w14:paraId="7313962C" w14:textId="3A46F089" w:rsidR="00143BDC" w:rsidRDefault="00002EBA" w:rsidP="00147724">
            <w:pPr>
              <w:pStyle w:val="Header"/>
              <w:numPr>
                <w:ilvl w:val="0"/>
                <w:numId w:val="1"/>
              </w:numPr>
              <w:tabs>
                <w:tab w:val="left" w:pos="6960"/>
              </w:tabs>
              <w:jc w:val="both"/>
            </w:pPr>
            <w:r>
              <w:t>consistent with health care practice guidelines</w:t>
            </w:r>
            <w:r>
              <w:t xml:space="preserve"> and standards that are issued by professionally recognized health care organizations or governmental agencies;</w:t>
            </w:r>
          </w:p>
          <w:p w14:paraId="121515E1" w14:textId="1180FDB1" w:rsidR="00143BDC" w:rsidRDefault="00002EBA" w:rsidP="00147724">
            <w:pPr>
              <w:pStyle w:val="Header"/>
              <w:numPr>
                <w:ilvl w:val="0"/>
                <w:numId w:val="1"/>
              </w:numPr>
              <w:tabs>
                <w:tab w:val="left" w:pos="6960"/>
              </w:tabs>
              <w:jc w:val="both"/>
            </w:pPr>
            <w:r>
              <w:t>consistent with the diagnoses of the conditions;</w:t>
            </w:r>
          </w:p>
          <w:p w14:paraId="4EF073FC" w14:textId="27B8D854" w:rsidR="00143BDC" w:rsidRDefault="00002EBA" w:rsidP="00147724">
            <w:pPr>
              <w:pStyle w:val="Header"/>
              <w:numPr>
                <w:ilvl w:val="0"/>
                <w:numId w:val="1"/>
              </w:numPr>
              <w:tabs>
                <w:tab w:val="left" w:pos="6960"/>
              </w:tabs>
              <w:jc w:val="both"/>
            </w:pPr>
            <w:r>
              <w:t>no more intrusive or restrictive than necessary to provide a proper balance of safety, effectiv</w:t>
            </w:r>
            <w:r>
              <w:t>eness, and efficiency;</w:t>
            </w:r>
          </w:p>
          <w:p w14:paraId="4E63C5C8" w14:textId="4EB4E939" w:rsidR="00143BDC" w:rsidRDefault="00002EBA" w:rsidP="00147724">
            <w:pPr>
              <w:pStyle w:val="Header"/>
              <w:numPr>
                <w:ilvl w:val="0"/>
                <w:numId w:val="1"/>
              </w:numPr>
              <w:tabs>
                <w:tab w:val="left" w:pos="6960"/>
              </w:tabs>
              <w:jc w:val="both"/>
            </w:pPr>
            <w:r>
              <w:t>not experimental or investigative; and</w:t>
            </w:r>
          </w:p>
          <w:p w14:paraId="04E8F492" w14:textId="77777777" w:rsidR="00F81FC1" w:rsidRDefault="00002EBA" w:rsidP="0014772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6960"/>
              </w:tabs>
              <w:jc w:val="both"/>
            </w:pPr>
            <w:r>
              <w:t>not primarily for the convenience of the physician or patient engaged in a physician-patient relationship.</w:t>
            </w:r>
          </w:p>
          <w:p w14:paraId="6B6985F8" w14:textId="7ED34C75" w:rsidR="00F81FC1" w:rsidRDefault="00002EBA" w:rsidP="00147724">
            <w:pPr>
              <w:pStyle w:val="Header"/>
              <w:tabs>
                <w:tab w:val="clear" w:pos="4320"/>
                <w:tab w:val="clear" w:pos="8640"/>
                <w:tab w:val="left" w:pos="6960"/>
              </w:tabs>
              <w:jc w:val="both"/>
            </w:pPr>
            <w:r>
              <w:t xml:space="preserve">The bill also defines </w:t>
            </w:r>
            <w:r w:rsidRPr="00F81FC1">
              <w:t>"</w:t>
            </w:r>
            <w:r>
              <w:t>p</w:t>
            </w:r>
            <w:r w:rsidRPr="00F81FC1">
              <w:t xml:space="preserve">hysician-patient relationship" </w:t>
            </w:r>
            <w:r>
              <w:t>for the purposes of these provis</w:t>
            </w:r>
            <w:r>
              <w:t xml:space="preserve">ions as a </w:t>
            </w:r>
            <w:r w:rsidRPr="00F81FC1">
              <w:t>consensual relationship that exists because of a contract, express or implied, that the physician will treat the patient with proper professional skill.</w:t>
            </w:r>
          </w:p>
          <w:p w14:paraId="1E2C791E" w14:textId="692C814E" w:rsidR="00F81FC1" w:rsidRPr="009F5883" w:rsidRDefault="00F81FC1" w:rsidP="00147724">
            <w:pPr>
              <w:pStyle w:val="Header"/>
              <w:tabs>
                <w:tab w:val="clear" w:pos="4320"/>
                <w:tab w:val="clear" w:pos="8640"/>
                <w:tab w:val="left" w:pos="6960"/>
              </w:tabs>
              <w:jc w:val="both"/>
            </w:pPr>
          </w:p>
        </w:tc>
      </w:tr>
      <w:tr w:rsidR="00EA0DEB" w14:paraId="7560B199" w14:textId="77777777" w:rsidTr="00345119">
        <w:tc>
          <w:tcPr>
            <w:tcW w:w="9576" w:type="dxa"/>
          </w:tcPr>
          <w:p w14:paraId="4B0EFF29" w14:textId="77777777" w:rsidR="008423E4" w:rsidRPr="00A8133F" w:rsidRDefault="00002EBA" w:rsidP="001477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5F94EC" w14:textId="77777777" w:rsidR="008423E4" w:rsidRDefault="008423E4" w:rsidP="00147724"/>
          <w:p w14:paraId="0A8D9A2F" w14:textId="04C54D38" w:rsidR="008423E4" w:rsidRPr="00233FDB" w:rsidRDefault="00002EBA" w:rsidP="001477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2023.</w:t>
            </w:r>
          </w:p>
        </w:tc>
      </w:tr>
    </w:tbl>
    <w:p w14:paraId="198A3815" w14:textId="77777777" w:rsidR="008423E4" w:rsidRPr="00BE0E75" w:rsidRDefault="008423E4" w:rsidP="00147724">
      <w:pPr>
        <w:jc w:val="both"/>
        <w:rPr>
          <w:rFonts w:ascii="Arial" w:hAnsi="Arial"/>
          <w:sz w:val="16"/>
          <w:szCs w:val="16"/>
        </w:rPr>
      </w:pPr>
    </w:p>
    <w:p w14:paraId="66962B68" w14:textId="77777777" w:rsidR="004108C3" w:rsidRPr="008423E4" w:rsidRDefault="004108C3" w:rsidP="0014772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2E94" w14:textId="77777777" w:rsidR="00000000" w:rsidRDefault="00002EBA">
      <w:r>
        <w:separator/>
      </w:r>
    </w:p>
  </w:endnote>
  <w:endnote w:type="continuationSeparator" w:id="0">
    <w:p w14:paraId="69C26738" w14:textId="77777777" w:rsidR="00000000" w:rsidRDefault="0000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BBF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0DEB" w14:paraId="10069808" w14:textId="77777777" w:rsidTr="009C1E9A">
      <w:trPr>
        <w:cantSplit/>
      </w:trPr>
      <w:tc>
        <w:tcPr>
          <w:tcW w:w="0" w:type="pct"/>
        </w:tcPr>
        <w:p w14:paraId="159B59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CF62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08B88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9CB3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AB34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0DEB" w14:paraId="1023A467" w14:textId="77777777" w:rsidTr="009C1E9A">
      <w:trPr>
        <w:cantSplit/>
      </w:trPr>
      <w:tc>
        <w:tcPr>
          <w:tcW w:w="0" w:type="pct"/>
        </w:tcPr>
        <w:p w14:paraId="680336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493DE3" w14:textId="17F2B83E" w:rsidR="00EC379B" w:rsidRPr="009C1E9A" w:rsidRDefault="00002E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28324-D</w:t>
          </w:r>
        </w:p>
      </w:tc>
      <w:tc>
        <w:tcPr>
          <w:tcW w:w="2453" w:type="pct"/>
        </w:tcPr>
        <w:p w14:paraId="3AD81ED5" w14:textId="77A5D01D" w:rsidR="00EC379B" w:rsidRDefault="00002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A4428">
            <w:t>23.125.771</w:t>
          </w:r>
          <w:r>
            <w:fldChar w:fldCharType="end"/>
          </w:r>
        </w:p>
      </w:tc>
    </w:tr>
    <w:tr w:rsidR="00EA0DEB" w14:paraId="5BD7AF3B" w14:textId="77777777" w:rsidTr="009C1E9A">
      <w:trPr>
        <w:cantSplit/>
      </w:trPr>
      <w:tc>
        <w:tcPr>
          <w:tcW w:w="0" w:type="pct"/>
        </w:tcPr>
        <w:p w14:paraId="4266C0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AFEAF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AAD1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2A10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0DEB" w14:paraId="5903DA8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6A5C8C" w14:textId="77777777" w:rsidR="00EC379B" w:rsidRDefault="00002E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76D59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E482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C21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831D" w14:textId="77777777" w:rsidR="00000000" w:rsidRDefault="00002EBA">
      <w:r>
        <w:separator/>
      </w:r>
    </w:p>
  </w:footnote>
  <w:footnote w:type="continuationSeparator" w:id="0">
    <w:p w14:paraId="2040BA96" w14:textId="77777777" w:rsidR="00000000" w:rsidRDefault="0000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E65A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00D6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FE6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EAF"/>
    <w:multiLevelType w:val="hybridMultilevel"/>
    <w:tmpl w:val="1288428C"/>
    <w:lvl w:ilvl="0" w:tplc="89363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E4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6F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2D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0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02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7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CF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EF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A"/>
    <w:rsid w:val="00000A70"/>
    <w:rsid w:val="00002EBA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877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BDC"/>
    <w:rsid w:val="00143C8B"/>
    <w:rsid w:val="00147530"/>
    <w:rsid w:val="00147724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7A2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EAA"/>
    <w:rsid w:val="001E2CAD"/>
    <w:rsid w:val="001E34DB"/>
    <w:rsid w:val="001E3775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751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87DF2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F75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C9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43E8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58F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5883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695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955"/>
    <w:rsid w:val="00A932BB"/>
    <w:rsid w:val="00A93579"/>
    <w:rsid w:val="00A93934"/>
    <w:rsid w:val="00A95D51"/>
    <w:rsid w:val="00AA18AE"/>
    <w:rsid w:val="00AA228B"/>
    <w:rsid w:val="00AA4428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13A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9F3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A7E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DEB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390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1FC1"/>
    <w:rsid w:val="00F82811"/>
    <w:rsid w:val="00F84153"/>
    <w:rsid w:val="00F85661"/>
    <w:rsid w:val="00F92D06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16E70-80E2-499D-AC74-7C697F1D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6A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A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A7E"/>
    <w:rPr>
      <w:b/>
      <w:bCs/>
    </w:rPr>
  </w:style>
  <w:style w:type="paragraph" w:styleId="Revision">
    <w:name w:val="Revision"/>
    <w:hidden/>
    <w:uiPriority w:val="99"/>
    <w:semiHidden/>
    <w:rsid w:val="00143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2475</Characters>
  <Application>Microsoft Office Word</Application>
  <DocSecurity>4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HB03058 (Committee Report (Unamended))</vt:lpstr>
    </vt:vector>
  </TitlesOfParts>
  <Company>State of Texas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28324</dc:subject>
  <dc:creator>State of Texas</dc:creator>
  <dc:description>HB 3058 by Johnson, Ann-(H)Judiciary &amp; Civil Jurisprudence</dc:description>
  <cp:lastModifiedBy>Matthew Lee</cp:lastModifiedBy>
  <cp:revision>2</cp:revision>
  <cp:lastPrinted>2003-11-26T17:21:00Z</cp:lastPrinted>
  <dcterms:created xsi:type="dcterms:W3CDTF">2023-05-08T16:36:00Z</dcterms:created>
  <dcterms:modified xsi:type="dcterms:W3CDTF">2023-05-08T16:36:00Z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23.125.771</vt:lpwstr>
  </property>
</Properties>
</file>