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D6A4C" w14:paraId="729310D1" w14:textId="77777777" w:rsidTr="00345119">
        <w:tc>
          <w:tcPr>
            <w:tcW w:w="9576" w:type="dxa"/>
            <w:noWrap/>
          </w:tcPr>
          <w:p w14:paraId="09F0B66C" w14:textId="77777777" w:rsidR="008423E4" w:rsidRPr="0022177D" w:rsidRDefault="003B4D25" w:rsidP="00BB0AC5">
            <w:pPr>
              <w:pStyle w:val="Heading1"/>
            </w:pPr>
            <w:r w:rsidRPr="00631897">
              <w:t>BILL ANALYSIS</w:t>
            </w:r>
          </w:p>
        </w:tc>
      </w:tr>
    </w:tbl>
    <w:p w14:paraId="0EF91BFD" w14:textId="77777777" w:rsidR="008423E4" w:rsidRPr="0022177D" w:rsidRDefault="008423E4" w:rsidP="00BB0AC5">
      <w:pPr>
        <w:jc w:val="center"/>
      </w:pPr>
    </w:p>
    <w:p w14:paraId="05B36858" w14:textId="77777777" w:rsidR="008423E4" w:rsidRPr="00B31F0E" w:rsidRDefault="008423E4" w:rsidP="00BB0AC5"/>
    <w:p w14:paraId="4EB6AA9F" w14:textId="77777777" w:rsidR="008423E4" w:rsidRPr="00742794" w:rsidRDefault="008423E4" w:rsidP="00BB0AC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D6A4C" w14:paraId="66DBC695" w14:textId="77777777" w:rsidTr="00345119">
        <w:tc>
          <w:tcPr>
            <w:tcW w:w="9576" w:type="dxa"/>
          </w:tcPr>
          <w:p w14:paraId="50BC6782" w14:textId="2E22CA53" w:rsidR="008423E4" w:rsidRPr="00861995" w:rsidRDefault="003B4D25" w:rsidP="00BB0AC5">
            <w:pPr>
              <w:jc w:val="right"/>
            </w:pPr>
            <w:r>
              <w:t>C.S.H.B. 3097</w:t>
            </w:r>
          </w:p>
        </w:tc>
      </w:tr>
      <w:tr w:rsidR="006D6A4C" w14:paraId="70C7E3B5" w14:textId="77777777" w:rsidTr="00345119">
        <w:tc>
          <w:tcPr>
            <w:tcW w:w="9576" w:type="dxa"/>
          </w:tcPr>
          <w:p w14:paraId="185E3299" w14:textId="27F25D0B" w:rsidR="008423E4" w:rsidRPr="00861995" w:rsidRDefault="003B4D25" w:rsidP="00BB0AC5">
            <w:pPr>
              <w:jc w:val="right"/>
            </w:pPr>
            <w:r>
              <w:t xml:space="preserve">By: </w:t>
            </w:r>
            <w:r w:rsidR="00A63FFA">
              <w:t>Leo-Wilson</w:t>
            </w:r>
          </w:p>
        </w:tc>
      </w:tr>
      <w:tr w:rsidR="006D6A4C" w14:paraId="674C24C1" w14:textId="77777777" w:rsidTr="00345119">
        <w:tc>
          <w:tcPr>
            <w:tcW w:w="9576" w:type="dxa"/>
          </w:tcPr>
          <w:p w14:paraId="3F778593" w14:textId="4E02A6C7" w:rsidR="008423E4" w:rsidRPr="00861995" w:rsidRDefault="003B4D25" w:rsidP="00BB0AC5">
            <w:pPr>
              <w:jc w:val="right"/>
            </w:pPr>
            <w:r>
              <w:t>Pensions, Investments &amp; Financial Services</w:t>
            </w:r>
          </w:p>
        </w:tc>
      </w:tr>
      <w:tr w:rsidR="006D6A4C" w14:paraId="5A7F513C" w14:textId="77777777" w:rsidTr="00345119">
        <w:tc>
          <w:tcPr>
            <w:tcW w:w="9576" w:type="dxa"/>
          </w:tcPr>
          <w:p w14:paraId="6F2ADD79" w14:textId="67B394A1" w:rsidR="008423E4" w:rsidRDefault="003B4D25" w:rsidP="00BB0AC5">
            <w:pPr>
              <w:jc w:val="right"/>
            </w:pPr>
            <w:r>
              <w:t>Committee Report (Substituted)</w:t>
            </w:r>
          </w:p>
        </w:tc>
      </w:tr>
    </w:tbl>
    <w:p w14:paraId="615C4263" w14:textId="77777777" w:rsidR="008423E4" w:rsidRDefault="008423E4" w:rsidP="00BB0AC5">
      <w:pPr>
        <w:tabs>
          <w:tab w:val="right" w:pos="9360"/>
        </w:tabs>
      </w:pPr>
    </w:p>
    <w:p w14:paraId="2B6BB6C5" w14:textId="77777777" w:rsidR="008423E4" w:rsidRDefault="008423E4" w:rsidP="00BB0AC5"/>
    <w:p w14:paraId="5E4F5F22" w14:textId="77777777" w:rsidR="008423E4" w:rsidRDefault="008423E4" w:rsidP="00BB0AC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D6A4C" w14:paraId="7059D815" w14:textId="77777777" w:rsidTr="00196545">
        <w:tc>
          <w:tcPr>
            <w:tcW w:w="9360" w:type="dxa"/>
          </w:tcPr>
          <w:p w14:paraId="260184B4" w14:textId="77777777" w:rsidR="008423E4" w:rsidRPr="00A8133F" w:rsidRDefault="003B4D25" w:rsidP="00BB0AC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4CAFB4" w14:textId="77777777" w:rsidR="008423E4" w:rsidRDefault="008423E4" w:rsidP="00BB0AC5"/>
          <w:p w14:paraId="7B24CB70" w14:textId="692238EB" w:rsidR="00EE44B6" w:rsidRDefault="003B4D25" w:rsidP="00BB0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B289F">
              <w:rPr>
                <w:rFonts w:cstheme="minorHAnsi"/>
              </w:rPr>
              <w:t xml:space="preserve">Natural disasters along the </w:t>
            </w:r>
            <w:r w:rsidR="00893343">
              <w:rPr>
                <w:rFonts w:cstheme="minorHAnsi"/>
              </w:rPr>
              <w:t xml:space="preserve">Texas </w:t>
            </w:r>
            <w:r w:rsidRPr="001B289F">
              <w:rPr>
                <w:rFonts w:cstheme="minorHAnsi"/>
              </w:rPr>
              <w:t xml:space="preserve">Gulf Coast highlight the importance of local governments having the ability to access emergency funding following a hurricane or tropical storm. In 2007, the </w:t>
            </w:r>
            <w:r w:rsidR="00397F37">
              <w:rPr>
                <w:rFonts w:cstheme="minorHAnsi"/>
              </w:rPr>
              <w:t>80th</w:t>
            </w:r>
            <w:r w:rsidRPr="001B289F">
              <w:rPr>
                <w:rFonts w:cstheme="minorHAnsi"/>
              </w:rPr>
              <w:t xml:space="preserve"> Texas Legislature passed H</w:t>
            </w:r>
            <w:r w:rsidR="00893343">
              <w:rPr>
                <w:rFonts w:cstheme="minorHAnsi"/>
              </w:rPr>
              <w:t>.</w:t>
            </w:r>
            <w:r w:rsidRPr="001B289F">
              <w:rPr>
                <w:rFonts w:cstheme="minorHAnsi"/>
              </w:rPr>
              <w:t>B</w:t>
            </w:r>
            <w:r w:rsidR="00893343">
              <w:rPr>
                <w:rFonts w:cstheme="minorHAnsi"/>
              </w:rPr>
              <w:t>.</w:t>
            </w:r>
            <w:r w:rsidRPr="001B289F">
              <w:rPr>
                <w:rFonts w:cstheme="minorHAnsi"/>
              </w:rPr>
              <w:t xml:space="preserve"> 3270</w:t>
            </w:r>
            <w:r w:rsidR="00893343">
              <w:rPr>
                <w:rFonts w:cstheme="minorHAnsi"/>
              </w:rPr>
              <w:t>, which</w:t>
            </w:r>
            <w:r w:rsidRPr="001B289F">
              <w:rPr>
                <w:rFonts w:cstheme="minorHAnsi"/>
              </w:rPr>
              <w:t xml:space="preserve"> provid</w:t>
            </w:r>
            <w:r w:rsidR="00893343">
              <w:rPr>
                <w:rFonts w:cstheme="minorHAnsi"/>
              </w:rPr>
              <w:t>ed</w:t>
            </w:r>
            <w:r w:rsidRPr="001B289F">
              <w:rPr>
                <w:rFonts w:cstheme="minorHAnsi"/>
              </w:rPr>
              <w:t xml:space="preserve"> a mechanism for local governments to acces</w:t>
            </w:r>
            <w:r w:rsidRPr="001B289F">
              <w:rPr>
                <w:rFonts w:cstheme="minorHAnsi"/>
              </w:rPr>
              <w:t xml:space="preserve">s the financial market </w:t>
            </w:r>
            <w:r w:rsidR="00893343">
              <w:rPr>
                <w:rFonts w:cstheme="minorHAnsi"/>
              </w:rPr>
              <w:t>following such</w:t>
            </w:r>
            <w:r w:rsidRPr="001B289F">
              <w:rPr>
                <w:rFonts w:cstheme="minorHAnsi"/>
              </w:rPr>
              <w:t xml:space="preserve"> event</w:t>
            </w:r>
            <w:r w:rsidR="00893343">
              <w:rPr>
                <w:rFonts w:cstheme="minorHAnsi"/>
              </w:rPr>
              <w:t>s</w:t>
            </w:r>
            <w:r w:rsidRPr="001B289F">
              <w:rPr>
                <w:rFonts w:cstheme="minorHAnsi"/>
              </w:rPr>
              <w:t xml:space="preserve"> to fund public work projects resulting from the natural disaster. </w:t>
            </w:r>
            <w:r w:rsidR="00893343">
              <w:rPr>
                <w:rFonts w:cstheme="minorHAnsi"/>
              </w:rPr>
              <w:t>The legislation</w:t>
            </w:r>
            <w:r w:rsidRPr="001B289F">
              <w:rPr>
                <w:rFonts w:cstheme="minorHAnsi"/>
              </w:rPr>
              <w:t xml:space="preserve"> specifically authorize</w:t>
            </w:r>
            <w:r w:rsidR="00893343">
              <w:rPr>
                <w:rFonts w:cstheme="minorHAnsi"/>
              </w:rPr>
              <w:t>d</w:t>
            </w:r>
            <w:r w:rsidRPr="001B289F">
              <w:rPr>
                <w:rFonts w:cstheme="minorHAnsi"/>
              </w:rPr>
              <w:t xml:space="preserve"> the preliminary approval of such obligations by the </w:t>
            </w:r>
            <w:r w:rsidR="00893343">
              <w:rPr>
                <w:rFonts w:cstheme="minorHAnsi"/>
              </w:rPr>
              <w:t>a</w:t>
            </w:r>
            <w:r w:rsidRPr="001B289F">
              <w:rPr>
                <w:rFonts w:cstheme="minorHAnsi"/>
              </w:rPr>
              <w:t xml:space="preserve">ttorney </w:t>
            </w:r>
            <w:r w:rsidR="00893343">
              <w:rPr>
                <w:rFonts w:cstheme="minorHAnsi"/>
              </w:rPr>
              <w:t>g</w:t>
            </w:r>
            <w:r w:rsidRPr="001B289F">
              <w:rPr>
                <w:rFonts w:cstheme="minorHAnsi"/>
              </w:rPr>
              <w:t>eneral prior to an emergency to ensure that</w:t>
            </w:r>
            <w:r w:rsidRPr="001B289F">
              <w:rPr>
                <w:rFonts w:cstheme="minorHAnsi"/>
              </w:rPr>
              <w:t xml:space="preserve"> the cities have access to financial markets. Currently, cities must meet </w:t>
            </w:r>
            <w:r w:rsidR="007E1D58">
              <w:rPr>
                <w:rFonts w:cstheme="minorHAnsi"/>
              </w:rPr>
              <w:t xml:space="preserve">a </w:t>
            </w:r>
            <w:r w:rsidRPr="001B289F">
              <w:rPr>
                <w:rFonts w:cstheme="minorHAnsi"/>
              </w:rPr>
              <w:t xml:space="preserve">credit rating </w:t>
            </w:r>
            <w:r w:rsidRPr="007E1D58">
              <w:rPr>
                <w:rFonts w:cstheme="minorHAnsi"/>
              </w:rPr>
              <w:t>requirement</w:t>
            </w:r>
            <w:r w:rsidRPr="001B289F">
              <w:rPr>
                <w:rFonts w:cstheme="minorHAnsi"/>
              </w:rPr>
              <w:t xml:space="preserve"> when issuing anticipation notes following a natural disaster</w:t>
            </w:r>
            <w:r w:rsidR="00893343">
              <w:rPr>
                <w:rFonts w:cstheme="minorHAnsi"/>
              </w:rPr>
              <w:t>,</w:t>
            </w:r>
            <w:r w:rsidRPr="001B289F">
              <w:rPr>
                <w:rFonts w:cstheme="minorHAnsi"/>
              </w:rPr>
              <w:t xml:space="preserve"> which has caused issues for cities.</w:t>
            </w:r>
            <w:r w:rsidR="00893343">
              <w:t xml:space="preserve"> C.S.</w:t>
            </w:r>
            <w:r>
              <w:t>H</w:t>
            </w:r>
            <w:r w:rsidR="00893343">
              <w:t>.</w:t>
            </w:r>
            <w:r>
              <w:t>B</w:t>
            </w:r>
            <w:r w:rsidR="00893343">
              <w:t>.</w:t>
            </w:r>
            <w:r>
              <w:t xml:space="preserve"> 3097 seeks to clarify</w:t>
            </w:r>
            <w:r w:rsidR="00893343">
              <w:t xml:space="preserve"> that</w:t>
            </w:r>
            <w:r>
              <w:t xml:space="preserve"> an anticipation note issued for emergency purposes would not necessitate a rating from a nationally recognized rating agency as required by Chapter 1371</w:t>
            </w:r>
            <w:r w:rsidR="00893343">
              <w:t>, Government Code</w:t>
            </w:r>
            <w:r>
              <w:t xml:space="preserve">. </w:t>
            </w:r>
          </w:p>
          <w:p w14:paraId="45DAA788" w14:textId="77777777" w:rsidR="008423E4" w:rsidRPr="00E26B13" w:rsidRDefault="008423E4" w:rsidP="00BB0AC5">
            <w:pPr>
              <w:rPr>
                <w:b/>
              </w:rPr>
            </w:pPr>
          </w:p>
        </w:tc>
      </w:tr>
      <w:tr w:rsidR="006D6A4C" w14:paraId="734B4C36" w14:textId="77777777" w:rsidTr="00196545">
        <w:tc>
          <w:tcPr>
            <w:tcW w:w="9360" w:type="dxa"/>
          </w:tcPr>
          <w:p w14:paraId="41C38900" w14:textId="77777777" w:rsidR="0017725B" w:rsidRDefault="003B4D25" w:rsidP="00BB0A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6BAA15" w14:textId="77777777" w:rsidR="0017725B" w:rsidRDefault="0017725B" w:rsidP="00BB0AC5">
            <w:pPr>
              <w:rPr>
                <w:b/>
                <w:u w:val="single"/>
              </w:rPr>
            </w:pPr>
          </w:p>
          <w:p w14:paraId="2A4EAE1A" w14:textId="2779E04E" w:rsidR="00F84656" w:rsidRPr="00F84656" w:rsidRDefault="003B4D25" w:rsidP="00BB0AC5">
            <w:pPr>
              <w:jc w:val="both"/>
            </w:pPr>
            <w:r>
              <w:t>It is the committee's opinion that this bill does not ex</w:t>
            </w:r>
            <w:r>
              <w:t>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E440A48" w14:textId="77777777" w:rsidR="0017725B" w:rsidRPr="0017725B" w:rsidRDefault="0017725B" w:rsidP="00BB0AC5">
            <w:pPr>
              <w:rPr>
                <w:b/>
                <w:u w:val="single"/>
              </w:rPr>
            </w:pPr>
          </w:p>
        </w:tc>
      </w:tr>
      <w:tr w:rsidR="006D6A4C" w14:paraId="30390784" w14:textId="77777777" w:rsidTr="00196545">
        <w:tc>
          <w:tcPr>
            <w:tcW w:w="9360" w:type="dxa"/>
          </w:tcPr>
          <w:p w14:paraId="2AB7AE93" w14:textId="77777777" w:rsidR="008423E4" w:rsidRPr="00A8133F" w:rsidRDefault="003B4D25" w:rsidP="00BB0AC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B11A16" w14:textId="77777777" w:rsidR="008423E4" w:rsidRDefault="008423E4" w:rsidP="00BB0AC5"/>
          <w:p w14:paraId="337E26B5" w14:textId="099FB8D6" w:rsidR="00F84656" w:rsidRDefault="003B4D25" w:rsidP="00BB0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</w:t>
            </w:r>
            <w:r>
              <w:t>ttee's opinion that this bill does not expressly grant any additional rulemaking authority to a state officer, department, agency, or institution.</w:t>
            </w:r>
          </w:p>
          <w:p w14:paraId="45BE4A66" w14:textId="77777777" w:rsidR="008423E4" w:rsidRPr="00E21FDC" w:rsidRDefault="008423E4" w:rsidP="00BB0AC5">
            <w:pPr>
              <w:rPr>
                <w:b/>
              </w:rPr>
            </w:pPr>
          </w:p>
        </w:tc>
      </w:tr>
      <w:tr w:rsidR="006D6A4C" w14:paraId="4061AE9B" w14:textId="77777777" w:rsidTr="00196545">
        <w:tc>
          <w:tcPr>
            <w:tcW w:w="9360" w:type="dxa"/>
          </w:tcPr>
          <w:p w14:paraId="16E23257" w14:textId="77777777" w:rsidR="008423E4" w:rsidRPr="00A8133F" w:rsidRDefault="003B4D25" w:rsidP="00BB0AC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B1EFD8" w14:textId="77777777" w:rsidR="008423E4" w:rsidRDefault="008423E4" w:rsidP="00BB0AC5"/>
          <w:p w14:paraId="1425D8CD" w14:textId="16F0BBD6" w:rsidR="00AD5E90" w:rsidRDefault="003B4D25" w:rsidP="00BB0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135FC" w:rsidRPr="009135FC">
              <w:t>H</w:t>
            </w:r>
            <w:r w:rsidR="009135FC">
              <w:t>.</w:t>
            </w:r>
            <w:r w:rsidR="009135FC" w:rsidRPr="009135FC">
              <w:t>B</w:t>
            </w:r>
            <w:r w:rsidR="009135FC">
              <w:t xml:space="preserve">. </w:t>
            </w:r>
            <w:r w:rsidR="009135FC" w:rsidRPr="009135FC">
              <w:t>3097</w:t>
            </w:r>
            <w:r w:rsidR="009135FC">
              <w:t xml:space="preserve"> amends the </w:t>
            </w:r>
            <w:r w:rsidR="009135FC" w:rsidRPr="009135FC">
              <w:t>Government Code</w:t>
            </w:r>
            <w:r w:rsidR="009135FC">
              <w:t xml:space="preserve"> to </w:t>
            </w:r>
            <w:r>
              <w:t>revise</w:t>
            </w:r>
            <w:r w:rsidR="009A7FD8">
              <w:t xml:space="preserve"> </w:t>
            </w:r>
            <w:r w:rsidR="00F901A6">
              <w:t xml:space="preserve">the </w:t>
            </w:r>
            <w:r>
              <w:t>authorization for</w:t>
            </w:r>
            <w:r w:rsidR="00465BCA">
              <w:t xml:space="preserve"> </w:t>
            </w:r>
            <w:r w:rsidR="00465BCA" w:rsidRPr="00465BCA">
              <w:t>an</w:t>
            </w:r>
            <w:r w:rsidR="00F901A6">
              <w:t xml:space="preserve"> anticipation note</w:t>
            </w:r>
            <w:r w:rsidR="00465BCA" w:rsidRPr="00465BCA">
              <w:t xml:space="preserve"> issuer located within 70 miles of the Gulf of Mexico or of a bay or inlet of the gulf </w:t>
            </w:r>
            <w:r w:rsidR="00465BCA">
              <w:t>to</w:t>
            </w:r>
            <w:r w:rsidR="00465BCA" w:rsidRPr="00465BCA">
              <w:t xml:space="preserve"> authorize the issuance of an anticipation note or other obligation in the event of an emergency</w:t>
            </w:r>
            <w:r w:rsidR="006C43B3">
              <w:t xml:space="preserve"> resulting from a hurricane or tropical storm</w:t>
            </w:r>
            <w:r>
              <w:t xml:space="preserve"> by esta</w:t>
            </w:r>
            <w:r>
              <w:t>blishing the following:</w:t>
            </w:r>
          </w:p>
          <w:p w14:paraId="15F41C80" w14:textId="6FC57412" w:rsidR="00AD5E90" w:rsidRDefault="003B4D25" w:rsidP="00BB0AC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authorization applies notwithstanding a rating requirement prescribed under statutory provisions relating to obligations for certain public improvements; and</w:t>
            </w:r>
          </w:p>
          <w:p w14:paraId="021FAA20" w14:textId="35216E66" w:rsidR="00AD5E90" w:rsidRDefault="003B4D25" w:rsidP="00BB0AC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anticipation note or other obligation issued pursuant to the author</w:t>
            </w:r>
            <w:r>
              <w:t>ization</w:t>
            </w:r>
            <w:r w:rsidR="006C43B3">
              <w:t xml:space="preserve"> </w:t>
            </w:r>
            <w:r w:rsidR="009A7FD8">
              <w:t>is an obligation for purposes of</w:t>
            </w:r>
            <w:r w:rsidR="000F62A7">
              <w:t xml:space="preserve"> </w:t>
            </w:r>
            <w:r>
              <w:t xml:space="preserve">those </w:t>
            </w:r>
            <w:r w:rsidR="000F62A7">
              <w:t xml:space="preserve">statutory provisions </w:t>
            </w:r>
            <w:r w:rsidR="009A7FD8">
              <w:t xml:space="preserve">but </w:t>
            </w:r>
            <w:r w:rsidR="00353E38">
              <w:t xml:space="preserve">is not required to be rated as </w:t>
            </w:r>
            <w:r w:rsidR="009A7FD8">
              <w:t>required by those provisions</w:t>
            </w:r>
            <w:r w:rsidR="00353E38">
              <w:t xml:space="preserve">. </w:t>
            </w:r>
          </w:p>
          <w:p w14:paraId="0B4B332C" w14:textId="691913F6" w:rsidR="009C36CD" w:rsidRPr="009C36CD" w:rsidRDefault="003B4D25" w:rsidP="00BB0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465BCA">
              <w:t>applies only to an anticipation note or obligation issued on or after the</w:t>
            </w:r>
            <w:r>
              <w:t xml:space="preserve"> bill's</w:t>
            </w:r>
            <w:r w:rsidRPr="00465BCA">
              <w:t xml:space="preserve"> effective date</w:t>
            </w:r>
          </w:p>
          <w:p w14:paraId="5EF6E2A5" w14:textId="77777777" w:rsidR="008423E4" w:rsidRPr="00835628" w:rsidRDefault="008423E4" w:rsidP="00BB0AC5">
            <w:pPr>
              <w:rPr>
                <w:b/>
              </w:rPr>
            </w:pPr>
          </w:p>
        </w:tc>
      </w:tr>
      <w:tr w:rsidR="006D6A4C" w14:paraId="35BD9722" w14:textId="77777777" w:rsidTr="00196545">
        <w:tc>
          <w:tcPr>
            <w:tcW w:w="9360" w:type="dxa"/>
          </w:tcPr>
          <w:p w14:paraId="7E7441E7" w14:textId="77777777" w:rsidR="008423E4" w:rsidRPr="00A8133F" w:rsidRDefault="003B4D25" w:rsidP="00BB0AC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1133B4" w14:textId="77777777" w:rsidR="008423E4" w:rsidRDefault="008423E4" w:rsidP="00BB0AC5"/>
          <w:p w14:paraId="27F952BD" w14:textId="73EA3B7E" w:rsidR="008423E4" w:rsidRPr="003624F2" w:rsidRDefault="003B4D25" w:rsidP="00BB0AC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2E7E80A" w14:textId="77777777" w:rsidR="008423E4" w:rsidRPr="00233FDB" w:rsidRDefault="008423E4" w:rsidP="00BB0AC5">
            <w:pPr>
              <w:rPr>
                <w:b/>
              </w:rPr>
            </w:pPr>
          </w:p>
        </w:tc>
      </w:tr>
      <w:tr w:rsidR="006D6A4C" w14:paraId="7889F1AB" w14:textId="77777777" w:rsidTr="00196545">
        <w:tc>
          <w:tcPr>
            <w:tcW w:w="9360" w:type="dxa"/>
          </w:tcPr>
          <w:p w14:paraId="0F32AE38" w14:textId="670D9DB1" w:rsidR="00A63FFA" w:rsidRDefault="003B4D25" w:rsidP="00BB0AC5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78BA41D" w14:textId="77777777" w:rsidR="00196545" w:rsidRDefault="00196545" w:rsidP="00BB0AC5">
            <w:pPr>
              <w:keepNext/>
              <w:jc w:val="both"/>
            </w:pPr>
          </w:p>
          <w:p w14:paraId="40CE47E8" w14:textId="2D5DBB7D" w:rsidR="00196545" w:rsidRDefault="003B4D25" w:rsidP="00BB0AC5">
            <w:pPr>
              <w:keepNext/>
              <w:jc w:val="both"/>
            </w:pPr>
            <w:r>
              <w:t>While C.S.H.B. 3097 may differ from the introduced in minor or nonsubstantive ways, the following summarizes the</w:t>
            </w:r>
            <w:r>
              <w:t xml:space="preserve"> substantial differences between the introduced and committee substitute versions of the bill.</w:t>
            </w:r>
          </w:p>
          <w:p w14:paraId="3163A53F" w14:textId="77777777" w:rsidR="00196545" w:rsidRPr="00196545" w:rsidRDefault="00196545" w:rsidP="00BB0AC5">
            <w:pPr>
              <w:jc w:val="both"/>
            </w:pPr>
          </w:p>
          <w:p w14:paraId="501609FC" w14:textId="2DCCC8ED" w:rsidR="00196545" w:rsidRPr="00A63FFA" w:rsidRDefault="003B4D25" w:rsidP="00BB0AC5">
            <w:pPr>
              <w:jc w:val="both"/>
              <w:rPr>
                <w:b/>
                <w:u w:val="single"/>
              </w:rPr>
            </w:pPr>
            <w:r w:rsidRPr="00196545">
              <w:rPr>
                <w:bCs/>
              </w:rPr>
              <w:t xml:space="preserve">The substitute includes </w:t>
            </w:r>
            <w:r w:rsidR="00D73CAB">
              <w:rPr>
                <w:bCs/>
              </w:rPr>
              <w:t xml:space="preserve">a </w:t>
            </w:r>
            <w:r w:rsidRPr="00196545">
              <w:rPr>
                <w:bCs/>
              </w:rPr>
              <w:t xml:space="preserve">provision not in the introduced </w:t>
            </w:r>
            <w:r w:rsidR="00D73CAB">
              <w:rPr>
                <w:bCs/>
              </w:rPr>
              <w:t xml:space="preserve">clarifying that </w:t>
            </w:r>
            <w:r>
              <w:rPr>
                <w:bCs/>
              </w:rPr>
              <w:t>a</w:t>
            </w:r>
            <w:r w:rsidRPr="00196545">
              <w:rPr>
                <w:bCs/>
              </w:rPr>
              <w:t>n anticipation note or other</w:t>
            </w:r>
            <w:r>
              <w:rPr>
                <w:bCs/>
              </w:rPr>
              <w:t xml:space="preserve"> </w:t>
            </w:r>
            <w:r w:rsidRPr="00196545">
              <w:rPr>
                <w:bCs/>
              </w:rPr>
              <w:t>obligation</w:t>
            </w:r>
            <w:r w:rsidR="00D73CAB">
              <w:rPr>
                <w:bCs/>
              </w:rPr>
              <w:t xml:space="preserve"> issued pursuant to the authority of an applicable issuer for emergency financing</w:t>
            </w:r>
            <w:r>
              <w:rPr>
                <w:bCs/>
              </w:rPr>
              <w:t xml:space="preserve"> </w:t>
            </w:r>
            <w:r w:rsidR="00D73CAB">
              <w:rPr>
                <w:bCs/>
              </w:rPr>
              <w:t>is</w:t>
            </w:r>
            <w:r w:rsidRPr="00196545">
              <w:rPr>
                <w:bCs/>
              </w:rPr>
              <w:t xml:space="preserve"> an obligation</w:t>
            </w:r>
            <w:r>
              <w:rPr>
                <w:bCs/>
              </w:rPr>
              <w:t xml:space="preserve"> </w:t>
            </w:r>
            <w:r w:rsidR="00D73CAB">
              <w:rPr>
                <w:bCs/>
              </w:rPr>
              <w:t xml:space="preserve">under statutory provisions relating to obligations for certain public improvements </w:t>
            </w:r>
            <w:r>
              <w:rPr>
                <w:bCs/>
              </w:rPr>
              <w:t>but that such a note or obligation is not required to be rated as such.</w:t>
            </w:r>
          </w:p>
        </w:tc>
      </w:tr>
    </w:tbl>
    <w:p w14:paraId="455BC27A" w14:textId="77777777" w:rsidR="008423E4" w:rsidRPr="00BE0E75" w:rsidRDefault="008423E4" w:rsidP="00BB0AC5">
      <w:pPr>
        <w:jc w:val="both"/>
        <w:rPr>
          <w:rFonts w:ascii="Arial" w:hAnsi="Arial"/>
          <w:sz w:val="16"/>
          <w:szCs w:val="16"/>
        </w:rPr>
      </w:pPr>
    </w:p>
    <w:p w14:paraId="6C4094F7" w14:textId="77777777" w:rsidR="004108C3" w:rsidRPr="008423E4" w:rsidRDefault="004108C3" w:rsidP="00BB0AC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C88D" w14:textId="77777777" w:rsidR="00000000" w:rsidRDefault="003B4D25">
      <w:r>
        <w:separator/>
      </w:r>
    </w:p>
  </w:endnote>
  <w:endnote w:type="continuationSeparator" w:id="0">
    <w:p w14:paraId="60AA03F7" w14:textId="77777777" w:rsidR="00000000" w:rsidRDefault="003B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7E38" w14:textId="77777777" w:rsidR="00941ED2" w:rsidRDefault="00941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D6A4C" w14:paraId="1DE63C6C" w14:textId="77777777" w:rsidTr="009C1E9A">
      <w:trPr>
        <w:cantSplit/>
      </w:trPr>
      <w:tc>
        <w:tcPr>
          <w:tcW w:w="0" w:type="pct"/>
        </w:tcPr>
        <w:p w14:paraId="417CD1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8ED3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5E7EB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2FDF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A4448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6A4C" w14:paraId="26D18059" w14:textId="77777777" w:rsidTr="009C1E9A">
      <w:trPr>
        <w:cantSplit/>
      </w:trPr>
      <w:tc>
        <w:tcPr>
          <w:tcW w:w="0" w:type="pct"/>
        </w:tcPr>
        <w:p w14:paraId="24A8D0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4DF3B8" w14:textId="2ADCA2AB" w:rsidR="00EC379B" w:rsidRPr="009C1E9A" w:rsidRDefault="003B4D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23794-D</w:t>
          </w:r>
        </w:p>
      </w:tc>
      <w:tc>
        <w:tcPr>
          <w:tcW w:w="2453" w:type="pct"/>
        </w:tcPr>
        <w:p w14:paraId="788BD0AD" w14:textId="3892D8EA" w:rsidR="00EC379B" w:rsidRDefault="003B4D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A09F9">
            <w:t>23.105.521</w:t>
          </w:r>
          <w:r>
            <w:fldChar w:fldCharType="end"/>
          </w:r>
        </w:p>
      </w:tc>
    </w:tr>
    <w:tr w:rsidR="006D6A4C" w14:paraId="692F7D3C" w14:textId="77777777" w:rsidTr="009C1E9A">
      <w:trPr>
        <w:cantSplit/>
      </w:trPr>
      <w:tc>
        <w:tcPr>
          <w:tcW w:w="0" w:type="pct"/>
        </w:tcPr>
        <w:p w14:paraId="4E35A7C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B726823" w14:textId="56C4ED8B" w:rsidR="00EC379B" w:rsidRPr="009C1E9A" w:rsidRDefault="003B4D2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19021</w:t>
          </w:r>
        </w:p>
      </w:tc>
      <w:tc>
        <w:tcPr>
          <w:tcW w:w="2453" w:type="pct"/>
        </w:tcPr>
        <w:p w14:paraId="6F1207A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BCF5D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6A4C" w14:paraId="2AC6B53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E461FA" w14:textId="77777777" w:rsidR="00EC379B" w:rsidRDefault="003B4D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8FA5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22410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438E" w14:textId="77777777" w:rsidR="00941ED2" w:rsidRDefault="00941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995F" w14:textId="77777777" w:rsidR="00000000" w:rsidRDefault="003B4D25">
      <w:r>
        <w:separator/>
      </w:r>
    </w:p>
  </w:footnote>
  <w:footnote w:type="continuationSeparator" w:id="0">
    <w:p w14:paraId="129C3FE2" w14:textId="77777777" w:rsidR="00000000" w:rsidRDefault="003B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FF61" w14:textId="77777777" w:rsidR="00941ED2" w:rsidRDefault="00941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30E6" w14:textId="77777777" w:rsidR="00941ED2" w:rsidRDefault="00941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48A9" w14:textId="77777777" w:rsidR="00941ED2" w:rsidRDefault="00941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3FDE"/>
    <w:multiLevelType w:val="hybridMultilevel"/>
    <w:tmpl w:val="BC6C27EA"/>
    <w:lvl w:ilvl="0" w:tplc="1AB60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E3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64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82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AA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6C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D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01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8C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6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F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70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2A7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545"/>
    <w:rsid w:val="001968BC"/>
    <w:rsid w:val="001A0739"/>
    <w:rsid w:val="001A0F00"/>
    <w:rsid w:val="001A2BDD"/>
    <w:rsid w:val="001A3DDF"/>
    <w:rsid w:val="001A4310"/>
    <w:rsid w:val="001B053A"/>
    <w:rsid w:val="001B26D8"/>
    <w:rsid w:val="001B289F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CCE"/>
    <w:rsid w:val="001F0D72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6FD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3E38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F37"/>
    <w:rsid w:val="003A0296"/>
    <w:rsid w:val="003A10BC"/>
    <w:rsid w:val="003B1501"/>
    <w:rsid w:val="003B185E"/>
    <w:rsid w:val="003B198A"/>
    <w:rsid w:val="003B1CA3"/>
    <w:rsid w:val="003B1ED9"/>
    <w:rsid w:val="003B2891"/>
    <w:rsid w:val="003B2FFF"/>
    <w:rsid w:val="003B3DF3"/>
    <w:rsid w:val="003B48E2"/>
    <w:rsid w:val="003B4D25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E7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2CD"/>
    <w:rsid w:val="00465BC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765F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3B3"/>
    <w:rsid w:val="006C4709"/>
    <w:rsid w:val="006D3005"/>
    <w:rsid w:val="006D504F"/>
    <w:rsid w:val="006D6A4C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5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D58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343"/>
    <w:rsid w:val="008947A7"/>
    <w:rsid w:val="00895A66"/>
    <w:rsid w:val="00897E80"/>
    <w:rsid w:val="008A04FA"/>
    <w:rsid w:val="008A3188"/>
    <w:rsid w:val="008A3FDF"/>
    <w:rsid w:val="008A6418"/>
    <w:rsid w:val="008A7D21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5FC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ED2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47C"/>
    <w:rsid w:val="009A39F5"/>
    <w:rsid w:val="009A4588"/>
    <w:rsid w:val="009A5EA5"/>
    <w:rsid w:val="009A7FD8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3FFA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E9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404"/>
    <w:rsid w:val="00BB0AC5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1D3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EF1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CAB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9F9"/>
    <w:rsid w:val="00EA16AC"/>
    <w:rsid w:val="00EA385A"/>
    <w:rsid w:val="00EA3931"/>
    <w:rsid w:val="00EA658E"/>
    <w:rsid w:val="00EA7A88"/>
    <w:rsid w:val="00EB27F2"/>
    <w:rsid w:val="00EB3928"/>
    <w:rsid w:val="00EB5373"/>
    <w:rsid w:val="00EB6819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54F"/>
    <w:rsid w:val="00ED783A"/>
    <w:rsid w:val="00EE2E34"/>
    <w:rsid w:val="00EE2E91"/>
    <w:rsid w:val="00EE3370"/>
    <w:rsid w:val="00EE43A2"/>
    <w:rsid w:val="00EE44B6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231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656"/>
    <w:rsid w:val="00F85661"/>
    <w:rsid w:val="00F901A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78BC25-7DEB-438C-8649-AF5BA1AC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46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6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656"/>
    <w:rPr>
      <w:b/>
      <w:bCs/>
    </w:rPr>
  </w:style>
  <w:style w:type="paragraph" w:styleId="Revision">
    <w:name w:val="Revision"/>
    <w:hidden/>
    <w:uiPriority w:val="99"/>
    <w:semiHidden/>
    <w:rsid w:val="00F901A6"/>
    <w:rPr>
      <w:sz w:val="24"/>
      <w:szCs w:val="24"/>
    </w:rPr>
  </w:style>
  <w:style w:type="character" w:styleId="Hyperlink">
    <w:name w:val="Hyperlink"/>
    <w:basedOn w:val="DefaultParagraphFont"/>
    <w:unhideWhenUsed/>
    <w:rsid w:val="008933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97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2655</Characters>
  <Application>Microsoft Office Word</Application>
  <DocSecurity>4</DocSecurity>
  <Lines>65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HB03097 (Committee Report (Substituted))</vt:lpstr>
    </vt:vector>
  </TitlesOfParts>
  <Company>State of Texas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23794</dc:subject>
  <dc:creator>State of Texas</dc:creator>
  <dc:description>HB 3097 by Leo-Wilson-(H)Pensions, Investments &amp; Financial Services (Substitute Document Number: 88R 19021)</dc:description>
  <cp:lastModifiedBy>Stacey Nicchio</cp:lastModifiedBy>
  <cp:revision>2</cp:revision>
  <cp:lastPrinted>2003-11-26T17:21:00Z</cp:lastPrinted>
  <dcterms:created xsi:type="dcterms:W3CDTF">2023-04-21T17:42:00Z</dcterms:created>
  <dcterms:modified xsi:type="dcterms:W3CDTF">2023-04-21T17:42:00Z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23.105.521</vt:lpwstr>
  </property>
</Properties>
</file>