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B32BC" w14:paraId="54B25323" w14:textId="77777777" w:rsidTr="00345119">
        <w:tc>
          <w:tcPr>
            <w:tcW w:w="9576" w:type="dxa"/>
            <w:noWrap/>
          </w:tcPr>
          <w:p w14:paraId="0AED8274" w14:textId="77777777" w:rsidR="008423E4" w:rsidRPr="0022177D" w:rsidRDefault="001307A0" w:rsidP="00BB3852">
            <w:pPr>
              <w:pStyle w:val="Heading1"/>
            </w:pPr>
            <w:r w:rsidRPr="00631897">
              <w:t>BILL ANALYSIS</w:t>
            </w:r>
          </w:p>
        </w:tc>
      </w:tr>
    </w:tbl>
    <w:p w14:paraId="582C4BFE" w14:textId="77777777" w:rsidR="008423E4" w:rsidRPr="0022177D" w:rsidRDefault="008423E4" w:rsidP="00BB3852">
      <w:pPr>
        <w:jc w:val="center"/>
      </w:pPr>
    </w:p>
    <w:p w14:paraId="366C26CA" w14:textId="77777777" w:rsidR="008423E4" w:rsidRPr="00B31F0E" w:rsidRDefault="008423E4" w:rsidP="00BB3852"/>
    <w:p w14:paraId="6E18F337" w14:textId="77777777" w:rsidR="008423E4" w:rsidRPr="00742794" w:rsidRDefault="008423E4" w:rsidP="00BB3852">
      <w:pPr>
        <w:tabs>
          <w:tab w:val="right" w:pos="9360"/>
        </w:tabs>
      </w:pPr>
    </w:p>
    <w:tbl>
      <w:tblPr>
        <w:tblW w:w="0" w:type="auto"/>
        <w:tblLayout w:type="fixed"/>
        <w:tblLook w:val="01E0" w:firstRow="1" w:lastRow="1" w:firstColumn="1" w:lastColumn="1" w:noHBand="0" w:noVBand="0"/>
      </w:tblPr>
      <w:tblGrid>
        <w:gridCol w:w="9576"/>
      </w:tblGrid>
      <w:tr w:rsidR="005B32BC" w14:paraId="3F11FB08" w14:textId="77777777" w:rsidTr="00345119">
        <w:tc>
          <w:tcPr>
            <w:tcW w:w="9576" w:type="dxa"/>
          </w:tcPr>
          <w:p w14:paraId="4E376B08" w14:textId="20E904F3" w:rsidR="008423E4" w:rsidRPr="00861995" w:rsidRDefault="001307A0" w:rsidP="00BB3852">
            <w:pPr>
              <w:jc w:val="right"/>
            </w:pPr>
            <w:r>
              <w:t>C.S.H.B. 3102</w:t>
            </w:r>
          </w:p>
        </w:tc>
      </w:tr>
      <w:tr w:rsidR="005B32BC" w14:paraId="14900A89" w14:textId="77777777" w:rsidTr="00345119">
        <w:tc>
          <w:tcPr>
            <w:tcW w:w="9576" w:type="dxa"/>
          </w:tcPr>
          <w:p w14:paraId="2FD835AD" w14:textId="5D002BB6" w:rsidR="008423E4" w:rsidRPr="00861995" w:rsidRDefault="001307A0" w:rsidP="00BB3852">
            <w:pPr>
              <w:jc w:val="right"/>
            </w:pPr>
            <w:r>
              <w:t xml:space="preserve">By: </w:t>
            </w:r>
            <w:r w:rsidR="00D43A2D">
              <w:t>Lambert</w:t>
            </w:r>
          </w:p>
        </w:tc>
      </w:tr>
      <w:tr w:rsidR="005B32BC" w14:paraId="5B5B3DE8" w14:textId="77777777" w:rsidTr="00345119">
        <w:tc>
          <w:tcPr>
            <w:tcW w:w="9576" w:type="dxa"/>
          </w:tcPr>
          <w:p w14:paraId="74F0F7B1" w14:textId="0A014ED8" w:rsidR="008423E4" w:rsidRPr="00861995" w:rsidRDefault="001307A0" w:rsidP="00BB3852">
            <w:pPr>
              <w:jc w:val="right"/>
            </w:pPr>
            <w:r>
              <w:t>Business &amp; Industry</w:t>
            </w:r>
          </w:p>
        </w:tc>
      </w:tr>
      <w:tr w:rsidR="005B32BC" w14:paraId="26E53D48" w14:textId="77777777" w:rsidTr="00345119">
        <w:tc>
          <w:tcPr>
            <w:tcW w:w="9576" w:type="dxa"/>
          </w:tcPr>
          <w:p w14:paraId="5662C9D1" w14:textId="37CAE8FC" w:rsidR="008423E4" w:rsidRDefault="001307A0" w:rsidP="00BB3852">
            <w:pPr>
              <w:jc w:val="right"/>
            </w:pPr>
            <w:r>
              <w:t>Committee Report (Substituted)</w:t>
            </w:r>
          </w:p>
        </w:tc>
      </w:tr>
    </w:tbl>
    <w:p w14:paraId="436CAB47" w14:textId="77777777" w:rsidR="008423E4" w:rsidRDefault="008423E4" w:rsidP="00BB3852">
      <w:pPr>
        <w:tabs>
          <w:tab w:val="right" w:pos="9360"/>
        </w:tabs>
      </w:pPr>
    </w:p>
    <w:p w14:paraId="3AF39E81" w14:textId="77777777" w:rsidR="008423E4" w:rsidRDefault="008423E4" w:rsidP="00BB3852"/>
    <w:p w14:paraId="2F14A14B" w14:textId="77777777" w:rsidR="008423E4" w:rsidRDefault="008423E4" w:rsidP="00BB3852"/>
    <w:tbl>
      <w:tblPr>
        <w:tblW w:w="0" w:type="auto"/>
        <w:tblCellMar>
          <w:left w:w="115" w:type="dxa"/>
          <w:right w:w="115" w:type="dxa"/>
        </w:tblCellMar>
        <w:tblLook w:val="01E0" w:firstRow="1" w:lastRow="1" w:firstColumn="1" w:lastColumn="1" w:noHBand="0" w:noVBand="0"/>
      </w:tblPr>
      <w:tblGrid>
        <w:gridCol w:w="9360"/>
      </w:tblGrid>
      <w:tr w:rsidR="005B32BC" w14:paraId="5A11B7ED" w14:textId="77777777" w:rsidTr="006B2487">
        <w:tc>
          <w:tcPr>
            <w:tcW w:w="9360" w:type="dxa"/>
          </w:tcPr>
          <w:p w14:paraId="457C7956" w14:textId="77777777" w:rsidR="008423E4" w:rsidRPr="00A8133F" w:rsidRDefault="001307A0" w:rsidP="00BB3852">
            <w:pPr>
              <w:rPr>
                <w:b/>
              </w:rPr>
            </w:pPr>
            <w:r w:rsidRPr="009C1E9A">
              <w:rPr>
                <w:b/>
                <w:u w:val="single"/>
              </w:rPr>
              <w:t>BACKGROUND AND PURPOSE</w:t>
            </w:r>
            <w:r>
              <w:rPr>
                <w:b/>
              </w:rPr>
              <w:t xml:space="preserve"> </w:t>
            </w:r>
          </w:p>
          <w:p w14:paraId="5347AFD5" w14:textId="77777777" w:rsidR="008423E4" w:rsidRDefault="008423E4" w:rsidP="00BB3852"/>
          <w:p w14:paraId="350F6561" w14:textId="77777777" w:rsidR="008423E4" w:rsidRDefault="001307A0" w:rsidP="00BB3852">
            <w:pPr>
              <w:pStyle w:val="Header"/>
              <w:tabs>
                <w:tab w:val="clear" w:pos="4320"/>
                <w:tab w:val="clear" w:pos="8640"/>
              </w:tabs>
              <w:jc w:val="both"/>
            </w:pPr>
            <w:r w:rsidRPr="0078748E">
              <w:t>Originally passed in 1973</w:t>
            </w:r>
            <w:r w:rsidR="003F2CC5">
              <w:t xml:space="preserve"> by the 63rd Legislature, Regular Session</w:t>
            </w:r>
            <w:r w:rsidRPr="0078748E">
              <w:t xml:space="preserve">, </w:t>
            </w:r>
            <w:r w:rsidR="003F2CC5">
              <w:t xml:space="preserve">Texas' </w:t>
            </w:r>
            <w:r w:rsidR="003346F0">
              <w:t xml:space="preserve">law regarding </w:t>
            </w:r>
            <w:r w:rsidR="003F2CC5">
              <w:t xml:space="preserve">home solicitation </w:t>
            </w:r>
            <w:r w:rsidRPr="0078748E">
              <w:t xml:space="preserve">sought to regulate in-home sales practices of that era, such as door-to-door salespeople </w:t>
            </w:r>
            <w:r w:rsidR="003F2CC5">
              <w:t xml:space="preserve">unscrupulously </w:t>
            </w:r>
            <w:r w:rsidRPr="0078748E">
              <w:t>peddling goods</w:t>
            </w:r>
            <w:r w:rsidR="003F2CC5">
              <w:t>.</w:t>
            </w:r>
            <w:r w:rsidRPr="0078748E">
              <w:t xml:space="preserve"> However, </w:t>
            </w:r>
            <w:r w:rsidR="008568F7">
              <w:t>between</w:t>
            </w:r>
            <w:r w:rsidR="008568F7" w:rsidRPr="0078748E">
              <w:t xml:space="preserve"> </w:t>
            </w:r>
            <w:r w:rsidRPr="0078748E">
              <w:t xml:space="preserve">the vast decline of such sales methods and the </w:t>
            </w:r>
            <w:r w:rsidR="00556D1D">
              <w:t xml:space="preserve">passage </w:t>
            </w:r>
            <w:r w:rsidRPr="0078748E">
              <w:t>of other consumer protection laws</w:t>
            </w:r>
            <w:r w:rsidR="008568F7">
              <w:t>,</w:t>
            </w:r>
            <w:r w:rsidRPr="0078748E">
              <w:t xml:space="preserve"> such as the Deceptive Trade P</w:t>
            </w:r>
            <w:r w:rsidRPr="0078748E">
              <w:t xml:space="preserve">ractices Act, the </w:t>
            </w:r>
            <w:r w:rsidR="008568F7">
              <w:t xml:space="preserve">in-home sales </w:t>
            </w:r>
            <w:r w:rsidRPr="0078748E">
              <w:t xml:space="preserve">law </w:t>
            </w:r>
            <w:r w:rsidR="008568F7">
              <w:t>currently</w:t>
            </w:r>
            <w:r w:rsidR="00556D1D">
              <w:t xml:space="preserve"> </w:t>
            </w:r>
            <w:r w:rsidRPr="0078748E">
              <w:t xml:space="preserve">contributes </w:t>
            </w:r>
            <w:r w:rsidR="00556D1D">
              <w:t xml:space="preserve">only </w:t>
            </w:r>
            <w:r w:rsidRPr="0078748E">
              <w:t>an additional layer of costly regulation that no longer protects the consumer.</w:t>
            </w:r>
            <w:r>
              <w:t xml:space="preserve"> </w:t>
            </w:r>
            <w:r w:rsidR="00556D1D">
              <w:t xml:space="preserve">C.S.H.B. 3102 </w:t>
            </w:r>
            <w:r>
              <w:t>seeks to resolve th</w:t>
            </w:r>
            <w:r w:rsidR="00556D1D">
              <w:t>is</w:t>
            </w:r>
            <w:r>
              <w:t xml:space="preserve"> issue by </w:t>
            </w:r>
            <w:r w:rsidR="00556D1D">
              <w:t>revising</w:t>
            </w:r>
            <w:r>
              <w:t xml:space="preserve"> the </w:t>
            </w:r>
            <w:r w:rsidR="00556D1D">
              <w:t xml:space="preserve">statutory </w:t>
            </w:r>
            <w:r>
              <w:t xml:space="preserve">language </w:t>
            </w:r>
            <w:r w:rsidR="008568F7">
              <w:t xml:space="preserve">regarding </w:t>
            </w:r>
            <w:r>
              <w:t xml:space="preserve">in-home sales practices. </w:t>
            </w:r>
          </w:p>
          <w:p w14:paraId="020377A5" w14:textId="0A2E80C9" w:rsidR="00FB694A" w:rsidRPr="00E26B13" w:rsidRDefault="00FB694A" w:rsidP="00BB3852">
            <w:pPr>
              <w:pStyle w:val="Header"/>
              <w:tabs>
                <w:tab w:val="clear" w:pos="4320"/>
                <w:tab w:val="clear" w:pos="8640"/>
              </w:tabs>
              <w:jc w:val="both"/>
              <w:rPr>
                <w:b/>
              </w:rPr>
            </w:pPr>
          </w:p>
        </w:tc>
      </w:tr>
      <w:tr w:rsidR="005B32BC" w14:paraId="0620AE2F" w14:textId="77777777" w:rsidTr="006B2487">
        <w:tc>
          <w:tcPr>
            <w:tcW w:w="9360" w:type="dxa"/>
          </w:tcPr>
          <w:p w14:paraId="74C9F625" w14:textId="77777777" w:rsidR="0017725B" w:rsidRDefault="001307A0" w:rsidP="00BB3852">
            <w:pPr>
              <w:rPr>
                <w:b/>
                <w:u w:val="single"/>
              </w:rPr>
            </w:pPr>
            <w:r>
              <w:rPr>
                <w:b/>
                <w:u w:val="single"/>
              </w:rPr>
              <w:t>CRIMINAL JUSTICE IMPACT</w:t>
            </w:r>
          </w:p>
          <w:p w14:paraId="02F4DB69" w14:textId="77777777" w:rsidR="0017725B" w:rsidRDefault="0017725B" w:rsidP="00BB3852">
            <w:pPr>
              <w:rPr>
                <w:b/>
                <w:u w:val="single"/>
              </w:rPr>
            </w:pPr>
          </w:p>
          <w:p w14:paraId="63D55209" w14:textId="77777777" w:rsidR="0017725B" w:rsidRDefault="001307A0" w:rsidP="00BB3852">
            <w:pPr>
              <w:jc w:val="both"/>
            </w:pPr>
            <w:r>
              <w:t xml:space="preserve">It is the committee's opinion that this bill does not expressly create a criminal offense, increase the punishment for an existing criminal offense or category of offenses, or change the eligibility of a person for </w:t>
            </w:r>
            <w:r>
              <w:t>community supervision, parole, or mandatory supervision.</w:t>
            </w:r>
          </w:p>
          <w:p w14:paraId="2B7A1913" w14:textId="2AB10338" w:rsidR="00FB694A" w:rsidRPr="0017725B" w:rsidRDefault="00FB694A" w:rsidP="00BB3852">
            <w:pPr>
              <w:jc w:val="both"/>
              <w:rPr>
                <w:b/>
                <w:u w:val="single"/>
              </w:rPr>
            </w:pPr>
          </w:p>
        </w:tc>
      </w:tr>
      <w:tr w:rsidR="005B32BC" w14:paraId="65189B7A" w14:textId="77777777" w:rsidTr="006B2487">
        <w:tc>
          <w:tcPr>
            <w:tcW w:w="9360" w:type="dxa"/>
          </w:tcPr>
          <w:p w14:paraId="2EC705D3" w14:textId="77777777" w:rsidR="008423E4" w:rsidRPr="00A8133F" w:rsidRDefault="001307A0" w:rsidP="00BB3852">
            <w:pPr>
              <w:rPr>
                <w:b/>
              </w:rPr>
            </w:pPr>
            <w:r w:rsidRPr="009C1E9A">
              <w:rPr>
                <w:b/>
                <w:u w:val="single"/>
              </w:rPr>
              <w:t>RULEMAKING AUTHORITY</w:t>
            </w:r>
            <w:r>
              <w:rPr>
                <w:b/>
              </w:rPr>
              <w:t xml:space="preserve"> </w:t>
            </w:r>
          </w:p>
          <w:p w14:paraId="24372916" w14:textId="77777777" w:rsidR="008423E4" w:rsidRDefault="008423E4" w:rsidP="00BB3852"/>
          <w:p w14:paraId="19BBC25F" w14:textId="77777777" w:rsidR="008423E4" w:rsidRDefault="001307A0" w:rsidP="00BB385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38B6118" w14:textId="09B9032E" w:rsidR="00FB694A" w:rsidRPr="00E21FDC" w:rsidRDefault="00FB694A" w:rsidP="00BB3852">
            <w:pPr>
              <w:pStyle w:val="Header"/>
              <w:tabs>
                <w:tab w:val="clear" w:pos="4320"/>
                <w:tab w:val="clear" w:pos="8640"/>
              </w:tabs>
              <w:jc w:val="both"/>
              <w:rPr>
                <w:b/>
              </w:rPr>
            </w:pPr>
          </w:p>
        </w:tc>
      </w:tr>
      <w:tr w:rsidR="005B32BC" w14:paraId="5B8DDF5B" w14:textId="77777777" w:rsidTr="006B2487">
        <w:tc>
          <w:tcPr>
            <w:tcW w:w="9360" w:type="dxa"/>
          </w:tcPr>
          <w:p w14:paraId="7C117547" w14:textId="77777777" w:rsidR="008423E4" w:rsidRPr="00A8133F" w:rsidRDefault="001307A0" w:rsidP="00BB3852">
            <w:pPr>
              <w:rPr>
                <w:b/>
              </w:rPr>
            </w:pPr>
            <w:r w:rsidRPr="009C1E9A">
              <w:rPr>
                <w:b/>
                <w:u w:val="single"/>
              </w:rPr>
              <w:t>ANALYSIS</w:t>
            </w:r>
            <w:r>
              <w:rPr>
                <w:b/>
              </w:rPr>
              <w:t xml:space="preserve"> </w:t>
            </w:r>
          </w:p>
          <w:p w14:paraId="44CD1C74" w14:textId="77777777" w:rsidR="008423E4" w:rsidRDefault="008423E4" w:rsidP="00BB3852"/>
          <w:p w14:paraId="159BF48C" w14:textId="2F5EEFBD" w:rsidR="00B27B92" w:rsidRDefault="001307A0" w:rsidP="00BB3852">
            <w:pPr>
              <w:pStyle w:val="Header"/>
              <w:jc w:val="both"/>
            </w:pPr>
            <w:r>
              <w:t xml:space="preserve">C.S.H.B. 3102 </w:t>
            </w:r>
            <w:r w:rsidR="00467AF8">
              <w:t xml:space="preserve">amends the Business &amp; Commerce Code to </w:t>
            </w:r>
            <w:r w:rsidR="001250A6">
              <w:t xml:space="preserve">specify that provisions </w:t>
            </w:r>
            <w:r w:rsidR="00716BBB">
              <w:t>relat</w:t>
            </w:r>
            <w:r>
              <w:t>ing</w:t>
            </w:r>
            <w:r w:rsidR="00716BBB">
              <w:t xml:space="preserve"> to the cancellation of certain consumer transactions apply to </w:t>
            </w:r>
            <w:r>
              <w:t xml:space="preserve">the following </w:t>
            </w:r>
            <w:r w:rsidR="00716BBB">
              <w:t xml:space="preserve">consumer transactions </w:t>
            </w:r>
            <w:r w:rsidR="00F82C04">
              <w:t xml:space="preserve">by a consumer </w:t>
            </w:r>
            <w:r w:rsidR="00523FA0">
              <w:t xml:space="preserve">that </w:t>
            </w:r>
            <w:r w:rsidR="00F82C04">
              <w:t>is not a customer of the merchant, or of an affiliate of the merchant, at the time of the solicitation or has not previously placed an order for goods or services with the merchant, an affiliate of the merchant, or the merchant's agent</w:t>
            </w:r>
            <w:r>
              <w:t>:</w:t>
            </w:r>
          </w:p>
          <w:p w14:paraId="3B676D15" w14:textId="440B3499" w:rsidR="00D82667" w:rsidRDefault="001307A0" w:rsidP="00BB3852">
            <w:pPr>
              <w:pStyle w:val="Header"/>
              <w:numPr>
                <w:ilvl w:val="0"/>
                <w:numId w:val="3"/>
              </w:numPr>
              <w:tabs>
                <w:tab w:val="clear" w:pos="4320"/>
                <w:tab w:val="clear" w:pos="8640"/>
              </w:tabs>
              <w:jc w:val="both"/>
            </w:pPr>
            <w:r>
              <w:t xml:space="preserve">a transaction in which </w:t>
            </w:r>
            <w:r w:rsidR="007445F0">
              <w:t>a</w:t>
            </w:r>
            <w:r w:rsidR="00716BBB">
              <w:t xml:space="preserve"> </w:t>
            </w:r>
            <w:r w:rsidR="00716BBB" w:rsidRPr="00716BBB">
              <w:t xml:space="preserve">merchant or </w:t>
            </w:r>
            <w:r w:rsidR="007445F0">
              <w:t>a</w:t>
            </w:r>
            <w:r w:rsidR="00716BBB" w:rsidRPr="00716BBB">
              <w:t xml:space="preserve"> merchant's agent </w:t>
            </w:r>
            <w:r w:rsidR="00523FA0" w:rsidRPr="00523FA0">
              <w:t>is not regulated by the Texas Department of Insurance</w:t>
            </w:r>
            <w:r w:rsidR="000A626C">
              <w:t xml:space="preserve"> (TDI)</w:t>
            </w:r>
            <w:r w:rsidR="00523FA0" w:rsidRPr="00523FA0">
              <w:t xml:space="preserve"> or the Texas Department of Licensing and Regulation</w:t>
            </w:r>
            <w:r w:rsidR="000A626C">
              <w:t xml:space="preserve"> (TDLR)</w:t>
            </w:r>
            <w:r w:rsidR="00523FA0" w:rsidRPr="00523FA0">
              <w:t xml:space="preserve"> and </w:t>
            </w:r>
            <w:r w:rsidR="00716BBB" w:rsidRPr="00716BBB">
              <w:t>engages in a personal solicitation of a sale to the consumer at a place other than the merchant's place of business</w:t>
            </w:r>
            <w:r>
              <w:t>;</w:t>
            </w:r>
            <w:r w:rsidR="00716BBB">
              <w:t xml:space="preserve"> or </w:t>
            </w:r>
          </w:p>
          <w:p w14:paraId="1247A434" w14:textId="5122C1F8" w:rsidR="00D82667" w:rsidRDefault="001307A0" w:rsidP="00BB3852">
            <w:pPr>
              <w:pStyle w:val="Header"/>
              <w:numPr>
                <w:ilvl w:val="0"/>
                <w:numId w:val="4"/>
              </w:numPr>
              <w:tabs>
                <w:tab w:val="clear" w:pos="4320"/>
                <w:tab w:val="clear" w:pos="8640"/>
              </w:tabs>
              <w:jc w:val="both"/>
            </w:pPr>
            <w:r>
              <w:t>a transaction in wh</w:t>
            </w:r>
            <w:r>
              <w:t xml:space="preserve">ich </w:t>
            </w:r>
            <w:r w:rsidR="007445F0">
              <w:t>a</w:t>
            </w:r>
            <w:r w:rsidR="00716BBB" w:rsidRPr="00716BBB">
              <w:t xml:space="preserve"> consumer's agreement or offer to purchase is given to the merchant or the merchant's agent at a place other than the merchant's place of business</w:t>
            </w:r>
            <w:r w:rsidR="00523FA0">
              <w:t xml:space="preserve"> if the merchant </w:t>
            </w:r>
            <w:r w:rsidR="00523FA0" w:rsidRPr="00523FA0">
              <w:t xml:space="preserve">is not regulated by </w:t>
            </w:r>
            <w:r w:rsidR="000A626C">
              <w:t>TDI</w:t>
            </w:r>
            <w:r w:rsidR="00523FA0" w:rsidRPr="00523FA0">
              <w:t xml:space="preserve"> or </w:t>
            </w:r>
            <w:r w:rsidR="000A626C">
              <w:t>TDLR</w:t>
            </w:r>
            <w:r w:rsidR="00523FA0">
              <w:t>.</w:t>
            </w:r>
          </w:p>
          <w:p w14:paraId="70482ED7" w14:textId="40BFD802" w:rsidR="00614933" w:rsidRDefault="001307A0" w:rsidP="00BB3852">
            <w:pPr>
              <w:pStyle w:val="Header"/>
              <w:tabs>
                <w:tab w:val="clear" w:pos="4320"/>
                <w:tab w:val="clear" w:pos="8640"/>
              </w:tabs>
              <w:jc w:val="both"/>
            </w:pPr>
            <w:r>
              <w:t xml:space="preserve">The bill </w:t>
            </w:r>
            <w:r w:rsidR="00D82667">
              <w:t xml:space="preserve">exempts from provisions </w:t>
            </w:r>
            <w:r w:rsidR="00AD6FBC">
              <w:t xml:space="preserve">relating to the cancellation of certain consumer transactions </w:t>
            </w:r>
            <w:r>
              <w:t>a sale of goods or services made e</w:t>
            </w:r>
            <w:r w:rsidRPr="007445F0">
              <w:t>ntirely by mail, Internet, or telephone and without any other contact between the buyer and the seller or the seller's representative be</w:t>
            </w:r>
            <w:r w:rsidRPr="007445F0">
              <w:t>fore delivery of the goods or performance of the services</w:t>
            </w:r>
            <w:r w:rsidR="00DE43A9">
              <w:t>.</w:t>
            </w:r>
            <w:r>
              <w:t xml:space="preserve"> </w:t>
            </w:r>
          </w:p>
          <w:p w14:paraId="591B549B" w14:textId="77777777" w:rsidR="00467AF8" w:rsidRDefault="00467AF8" w:rsidP="00BB3852">
            <w:pPr>
              <w:pStyle w:val="Header"/>
              <w:tabs>
                <w:tab w:val="clear" w:pos="4320"/>
                <w:tab w:val="clear" w:pos="8640"/>
              </w:tabs>
              <w:jc w:val="both"/>
            </w:pPr>
          </w:p>
          <w:p w14:paraId="05C16D93" w14:textId="77777777" w:rsidR="008423E4" w:rsidRDefault="001307A0" w:rsidP="00BB3852">
            <w:pPr>
              <w:pStyle w:val="Header"/>
              <w:tabs>
                <w:tab w:val="clear" w:pos="4320"/>
                <w:tab w:val="clear" w:pos="8640"/>
              </w:tabs>
              <w:jc w:val="both"/>
            </w:pPr>
            <w:r>
              <w:t xml:space="preserve">C.S.H.B. 3102 </w:t>
            </w:r>
            <w:r w:rsidR="00614933">
              <w:t>appl</w:t>
            </w:r>
            <w:r w:rsidR="00921427">
              <w:t>ies</w:t>
            </w:r>
            <w:r w:rsidR="00614933">
              <w:t xml:space="preserve"> only </w:t>
            </w:r>
            <w:r w:rsidR="00614933" w:rsidRPr="00614933">
              <w:t xml:space="preserve">to a consumer transaction that occurs on or after the </w:t>
            </w:r>
            <w:r w:rsidR="00614933">
              <w:t xml:space="preserve">bill's </w:t>
            </w:r>
            <w:r w:rsidR="00614933" w:rsidRPr="00614933">
              <w:t>effective date</w:t>
            </w:r>
            <w:r w:rsidR="00614933">
              <w:t>.</w:t>
            </w:r>
          </w:p>
          <w:p w14:paraId="491F946C" w14:textId="531C7500" w:rsidR="00FB694A" w:rsidRPr="00835628" w:rsidRDefault="00FB694A" w:rsidP="00BB3852">
            <w:pPr>
              <w:pStyle w:val="Header"/>
              <w:tabs>
                <w:tab w:val="clear" w:pos="4320"/>
                <w:tab w:val="clear" w:pos="8640"/>
              </w:tabs>
              <w:jc w:val="both"/>
              <w:rPr>
                <w:b/>
              </w:rPr>
            </w:pPr>
          </w:p>
        </w:tc>
      </w:tr>
      <w:tr w:rsidR="005B32BC" w14:paraId="67E4F2A8" w14:textId="77777777" w:rsidTr="006B2487">
        <w:tc>
          <w:tcPr>
            <w:tcW w:w="9360" w:type="dxa"/>
          </w:tcPr>
          <w:p w14:paraId="6CBE8404" w14:textId="77777777" w:rsidR="008423E4" w:rsidRPr="00A8133F" w:rsidRDefault="001307A0" w:rsidP="00BB3852">
            <w:pPr>
              <w:keepNext/>
              <w:rPr>
                <w:b/>
              </w:rPr>
            </w:pPr>
            <w:r w:rsidRPr="009C1E9A">
              <w:rPr>
                <w:b/>
                <w:u w:val="single"/>
              </w:rPr>
              <w:t>EFFECTIVE DATE</w:t>
            </w:r>
            <w:r>
              <w:rPr>
                <w:b/>
              </w:rPr>
              <w:t xml:space="preserve"> </w:t>
            </w:r>
          </w:p>
          <w:p w14:paraId="63DB851D" w14:textId="77777777" w:rsidR="008423E4" w:rsidRDefault="008423E4" w:rsidP="00BB3852"/>
          <w:p w14:paraId="44E20359" w14:textId="77777777" w:rsidR="008423E4" w:rsidRDefault="001307A0" w:rsidP="00BB3852">
            <w:pPr>
              <w:pStyle w:val="Header"/>
              <w:tabs>
                <w:tab w:val="clear" w:pos="4320"/>
                <w:tab w:val="clear" w:pos="8640"/>
              </w:tabs>
              <w:jc w:val="both"/>
            </w:pPr>
            <w:r>
              <w:t>September 1, 2023.</w:t>
            </w:r>
          </w:p>
          <w:p w14:paraId="31CB861E" w14:textId="68955B72" w:rsidR="00FB694A" w:rsidRPr="00233FDB" w:rsidRDefault="00FB694A" w:rsidP="00BB3852">
            <w:pPr>
              <w:pStyle w:val="Header"/>
              <w:tabs>
                <w:tab w:val="clear" w:pos="4320"/>
                <w:tab w:val="clear" w:pos="8640"/>
              </w:tabs>
              <w:jc w:val="both"/>
              <w:rPr>
                <w:b/>
              </w:rPr>
            </w:pPr>
          </w:p>
        </w:tc>
      </w:tr>
      <w:tr w:rsidR="005B32BC" w14:paraId="4BC3A7C8" w14:textId="77777777" w:rsidTr="006B2487">
        <w:tc>
          <w:tcPr>
            <w:tcW w:w="9360" w:type="dxa"/>
          </w:tcPr>
          <w:p w14:paraId="10117938" w14:textId="77777777" w:rsidR="00D43A2D" w:rsidRDefault="001307A0" w:rsidP="00BB3852">
            <w:pPr>
              <w:jc w:val="both"/>
              <w:rPr>
                <w:b/>
                <w:u w:val="single"/>
              </w:rPr>
            </w:pPr>
            <w:r>
              <w:rPr>
                <w:b/>
                <w:u w:val="single"/>
              </w:rPr>
              <w:t>COMPARISON OF INTRODUCED AND SUBSTITUTE</w:t>
            </w:r>
          </w:p>
          <w:p w14:paraId="2DBEB363" w14:textId="77777777" w:rsidR="000D06F8" w:rsidRDefault="000D06F8" w:rsidP="00BB3852">
            <w:pPr>
              <w:jc w:val="both"/>
            </w:pPr>
          </w:p>
          <w:p w14:paraId="0DA0BEEB" w14:textId="6564D9A3" w:rsidR="006B2487" w:rsidRDefault="001307A0" w:rsidP="00BB3852">
            <w:pPr>
              <w:jc w:val="both"/>
            </w:pPr>
            <w:r>
              <w:t xml:space="preserve">While </w:t>
            </w:r>
            <w:r>
              <w:t>C.S.H.B. 3102 may differ from the introduced in minor or nonsubstantive ways, the following summarizes the substantial differences between the introduced and committee substitute versions of the bill.</w:t>
            </w:r>
          </w:p>
          <w:p w14:paraId="3C676880" w14:textId="77777777" w:rsidR="006B2487" w:rsidRPr="006B2487" w:rsidRDefault="006B2487" w:rsidP="00BB3852">
            <w:pPr>
              <w:jc w:val="both"/>
            </w:pPr>
          </w:p>
          <w:p w14:paraId="601B1527" w14:textId="68FE1E13" w:rsidR="006B2487" w:rsidRDefault="001307A0" w:rsidP="00BB3852">
            <w:pPr>
              <w:jc w:val="both"/>
              <w:rPr>
                <w:bCs/>
              </w:rPr>
            </w:pPr>
            <w:r w:rsidRPr="000D06F8">
              <w:rPr>
                <w:bCs/>
              </w:rPr>
              <w:t xml:space="preserve">The substitute </w:t>
            </w:r>
            <w:r w:rsidR="001526AE">
              <w:rPr>
                <w:bCs/>
              </w:rPr>
              <w:t>changes</w:t>
            </w:r>
            <w:r w:rsidR="001526AE" w:rsidRPr="000D06F8">
              <w:rPr>
                <w:bCs/>
              </w:rPr>
              <w:t xml:space="preserve"> </w:t>
            </w:r>
            <w:r>
              <w:rPr>
                <w:bCs/>
              </w:rPr>
              <w:t xml:space="preserve">the applicability of </w:t>
            </w:r>
            <w:r w:rsidR="003F73D4">
              <w:rPr>
                <w:bCs/>
              </w:rPr>
              <w:t xml:space="preserve">provisions </w:t>
            </w:r>
            <w:r w:rsidR="003F73D4">
              <w:t>relating to the cancellation of certain</w:t>
            </w:r>
            <w:r>
              <w:rPr>
                <w:bCs/>
              </w:rPr>
              <w:t xml:space="preserve"> consumer transactions</w:t>
            </w:r>
            <w:r w:rsidR="005D0DD9">
              <w:rPr>
                <w:bCs/>
              </w:rPr>
              <w:t xml:space="preserve"> as follows:</w:t>
            </w:r>
          </w:p>
          <w:p w14:paraId="71200541" w14:textId="52245732" w:rsidR="005D0DD9" w:rsidRDefault="001307A0" w:rsidP="00BB3852">
            <w:pPr>
              <w:pStyle w:val="ListParagraph"/>
              <w:numPr>
                <w:ilvl w:val="0"/>
                <w:numId w:val="2"/>
              </w:numPr>
              <w:contextualSpacing w:val="0"/>
              <w:jc w:val="both"/>
              <w:rPr>
                <w:bCs/>
              </w:rPr>
            </w:pPr>
            <w:r>
              <w:rPr>
                <w:bCs/>
              </w:rPr>
              <w:t xml:space="preserve">limiting to merchants or merchants' agents that are not regulated by TDI or TDLR the merchants or merchants' agents to which the </w:t>
            </w:r>
            <w:r w:rsidR="003F73D4">
              <w:rPr>
                <w:bCs/>
              </w:rPr>
              <w:t>provisions apply, which the introduced did not do; and</w:t>
            </w:r>
          </w:p>
          <w:p w14:paraId="6B6AEC32" w14:textId="35EE14EA" w:rsidR="003F73D4" w:rsidRPr="005D0DD9" w:rsidRDefault="001307A0" w:rsidP="00BB3852">
            <w:pPr>
              <w:pStyle w:val="ListParagraph"/>
              <w:numPr>
                <w:ilvl w:val="0"/>
                <w:numId w:val="2"/>
              </w:numPr>
              <w:contextualSpacing w:val="0"/>
              <w:jc w:val="both"/>
              <w:rPr>
                <w:bCs/>
              </w:rPr>
            </w:pPr>
            <w:r>
              <w:rPr>
                <w:bCs/>
              </w:rPr>
              <w:t xml:space="preserve">whereas the introduced applied those provisions to certain transactions </w:t>
            </w:r>
            <w:r w:rsidR="001B2547">
              <w:rPr>
                <w:bCs/>
              </w:rPr>
              <w:t xml:space="preserve">taken by the merchant or merchant's agent </w:t>
            </w:r>
            <w:r>
              <w:rPr>
                <w:bCs/>
              </w:rPr>
              <w:t>without the consumer's prior invitation or request, the substitute applies the provisions to such transactions in which</w:t>
            </w:r>
            <w:r>
              <w:t xml:space="preserve"> a consumer is </w:t>
            </w:r>
            <w:r>
              <w:t>not a customer of the merchant, or of an affiliate of the merchant, at the time of the solicitation or has not previously placed an order for goods or services with the merchant, an affiliate of the merchant, or the merchant's agent.</w:t>
            </w:r>
            <w:r>
              <w:rPr>
                <w:bCs/>
              </w:rPr>
              <w:t xml:space="preserve"> </w:t>
            </w:r>
          </w:p>
          <w:p w14:paraId="0E9BADF4" w14:textId="056D24D6" w:rsidR="000D06F8" w:rsidRDefault="000D06F8" w:rsidP="00BB3852">
            <w:pPr>
              <w:jc w:val="both"/>
              <w:rPr>
                <w:bCs/>
              </w:rPr>
            </w:pPr>
          </w:p>
          <w:p w14:paraId="472AEC40" w14:textId="09A52D5A" w:rsidR="000D06F8" w:rsidRPr="006B2487" w:rsidRDefault="001307A0" w:rsidP="00BB3852">
            <w:pPr>
              <w:jc w:val="both"/>
              <w:rPr>
                <w:bCs/>
              </w:rPr>
            </w:pPr>
            <w:r w:rsidRPr="000D06F8">
              <w:rPr>
                <w:bCs/>
              </w:rPr>
              <w:t>The substitute omits</w:t>
            </w:r>
            <w:r w:rsidRPr="000D06F8">
              <w:rPr>
                <w:bCs/>
              </w:rPr>
              <w:t xml:space="preserve"> the provisions from the introduced that require</w:t>
            </w:r>
            <w:r w:rsidR="005D0DD9">
              <w:rPr>
                <w:bCs/>
              </w:rPr>
              <w:t>d</w:t>
            </w:r>
            <w:r w:rsidRPr="000D06F8">
              <w:rPr>
                <w:bCs/>
              </w:rPr>
              <w:t xml:space="preserve"> a merchant in good faith to have substantially begun to perform services</w:t>
            </w:r>
            <w:r w:rsidR="003F73D4">
              <w:rPr>
                <w:bCs/>
              </w:rPr>
              <w:t xml:space="preserve"> at the consumer's request</w:t>
            </w:r>
            <w:r>
              <w:rPr>
                <w:bCs/>
              </w:rPr>
              <w:t xml:space="preserve"> before a consumer gave notice</w:t>
            </w:r>
            <w:r w:rsidR="003F73D4">
              <w:rPr>
                <w:bCs/>
              </w:rPr>
              <w:t xml:space="preserve"> of </w:t>
            </w:r>
            <w:r w:rsidR="001B2547">
              <w:rPr>
                <w:bCs/>
              </w:rPr>
              <w:t xml:space="preserve">cancellation of the transaction </w:t>
            </w:r>
            <w:r>
              <w:rPr>
                <w:bCs/>
              </w:rPr>
              <w:t>for the merchant to be entitled to compens</w:t>
            </w:r>
            <w:r>
              <w:rPr>
                <w:bCs/>
              </w:rPr>
              <w:t>ation.</w:t>
            </w:r>
          </w:p>
          <w:p w14:paraId="247230B7" w14:textId="266086AB" w:rsidR="006B2487" w:rsidRPr="00D43A2D" w:rsidRDefault="006B2487" w:rsidP="00BB3852">
            <w:pPr>
              <w:jc w:val="both"/>
              <w:rPr>
                <w:b/>
                <w:u w:val="single"/>
              </w:rPr>
            </w:pPr>
          </w:p>
        </w:tc>
      </w:tr>
    </w:tbl>
    <w:p w14:paraId="553DF4FE" w14:textId="77777777" w:rsidR="008423E4" w:rsidRPr="00BE0E75" w:rsidRDefault="008423E4" w:rsidP="00BB3852">
      <w:pPr>
        <w:jc w:val="both"/>
        <w:rPr>
          <w:rFonts w:ascii="Arial" w:hAnsi="Arial"/>
          <w:sz w:val="16"/>
          <w:szCs w:val="16"/>
        </w:rPr>
      </w:pPr>
    </w:p>
    <w:p w14:paraId="44EC8592" w14:textId="77777777" w:rsidR="004108C3" w:rsidRPr="008423E4" w:rsidRDefault="004108C3" w:rsidP="00BB385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FB62" w14:textId="77777777" w:rsidR="00000000" w:rsidRDefault="001307A0">
      <w:r>
        <w:separator/>
      </w:r>
    </w:p>
  </w:endnote>
  <w:endnote w:type="continuationSeparator" w:id="0">
    <w:p w14:paraId="418C686D" w14:textId="77777777" w:rsidR="00000000" w:rsidRDefault="0013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B36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B32BC" w14:paraId="0181168E" w14:textId="77777777" w:rsidTr="009C1E9A">
      <w:trPr>
        <w:cantSplit/>
      </w:trPr>
      <w:tc>
        <w:tcPr>
          <w:tcW w:w="0" w:type="pct"/>
        </w:tcPr>
        <w:p w14:paraId="33156DF3" w14:textId="77777777" w:rsidR="00137D90" w:rsidRDefault="00137D90" w:rsidP="009C1E9A">
          <w:pPr>
            <w:pStyle w:val="Footer"/>
            <w:tabs>
              <w:tab w:val="clear" w:pos="8640"/>
              <w:tab w:val="right" w:pos="9360"/>
            </w:tabs>
          </w:pPr>
        </w:p>
      </w:tc>
      <w:tc>
        <w:tcPr>
          <w:tcW w:w="2395" w:type="pct"/>
        </w:tcPr>
        <w:p w14:paraId="5827D579" w14:textId="77777777" w:rsidR="00137D90" w:rsidRDefault="00137D90" w:rsidP="009C1E9A">
          <w:pPr>
            <w:pStyle w:val="Footer"/>
            <w:tabs>
              <w:tab w:val="clear" w:pos="8640"/>
              <w:tab w:val="right" w:pos="9360"/>
            </w:tabs>
          </w:pPr>
        </w:p>
        <w:p w14:paraId="0B3566C4" w14:textId="77777777" w:rsidR="001A4310" w:rsidRDefault="001A4310" w:rsidP="009C1E9A">
          <w:pPr>
            <w:pStyle w:val="Footer"/>
            <w:tabs>
              <w:tab w:val="clear" w:pos="8640"/>
              <w:tab w:val="right" w:pos="9360"/>
            </w:tabs>
          </w:pPr>
        </w:p>
        <w:p w14:paraId="1AB41E95" w14:textId="77777777" w:rsidR="00137D90" w:rsidRDefault="00137D90" w:rsidP="009C1E9A">
          <w:pPr>
            <w:pStyle w:val="Footer"/>
            <w:tabs>
              <w:tab w:val="clear" w:pos="8640"/>
              <w:tab w:val="right" w:pos="9360"/>
            </w:tabs>
          </w:pPr>
        </w:p>
      </w:tc>
      <w:tc>
        <w:tcPr>
          <w:tcW w:w="2453" w:type="pct"/>
        </w:tcPr>
        <w:p w14:paraId="0B060882" w14:textId="77777777" w:rsidR="00137D90" w:rsidRDefault="00137D90" w:rsidP="009C1E9A">
          <w:pPr>
            <w:pStyle w:val="Footer"/>
            <w:tabs>
              <w:tab w:val="clear" w:pos="8640"/>
              <w:tab w:val="right" w:pos="9360"/>
            </w:tabs>
            <w:jc w:val="right"/>
          </w:pPr>
        </w:p>
      </w:tc>
    </w:tr>
    <w:tr w:rsidR="005B32BC" w14:paraId="4FD06120" w14:textId="77777777" w:rsidTr="009C1E9A">
      <w:trPr>
        <w:cantSplit/>
      </w:trPr>
      <w:tc>
        <w:tcPr>
          <w:tcW w:w="0" w:type="pct"/>
        </w:tcPr>
        <w:p w14:paraId="504B0952" w14:textId="77777777" w:rsidR="00EC379B" w:rsidRDefault="00EC379B" w:rsidP="009C1E9A">
          <w:pPr>
            <w:pStyle w:val="Footer"/>
            <w:tabs>
              <w:tab w:val="clear" w:pos="8640"/>
              <w:tab w:val="right" w:pos="9360"/>
            </w:tabs>
          </w:pPr>
        </w:p>
      </w:tc>
      <w:tc>
        <w:tcPr>
          <w:tcW w:w="2395" w:type="pct"/>
        </w:tcPr>
        <w:p w14:paraId="69B1706B" w14:textId="0E8E5190" w:rsidR="00EC379B" w:rsidRPr="009C1E9A" w:rsidRDefault="001307A0" w:rsidP="009C1E9A">
          <w:pPr>
            <w:pStyle w:val="Footer"/>
            <w:tabs>
              <w:tab w:val="clear" w:pos="8640"/>
              <w:tab w:val="right" w:pos="9360"/>
            </w:tabs>
            <w:rPr>
              <w:rFonts w:ascii="Shruti" w:hAnsi="Shruti"/>
              <w:sz w:val="22"/>
            </w:rPr>
          </w:pPr>
          <w:r>
            <w:rPr>
              <w:rFonts w:ascii="Shruti" w:hAnsi="Shruti"/>
              <w:sz w:val="22"/>
            </w:rPr>
            <w:t>88R 25734-D</w:t>
          </w:r>
        </w:p>
      </w:tc>
      <w:tc>
        <w:tcPr>
          <w:tcW w:w="2453" w:type="pct"/>
        </w:tcPr>
        <w:p w14:paraId="5732B82C" w14:textId="4F45ABC0" w:rsidR="00EC379B" w:rsidRDefault="001307A0" w:rsidP="009C1E9A">
          <w:pPr>
            <w:pStyle w:val="Footer"/>
            <w:tabs>
              <w:tab w:val="clear" w:pos="8640"/>
              <w:tab w:val="right" w:pos="9360"/>
            </w:tabs>
            <w:jc w:val="right"/>
          </w:pPr>
          <w:r>
            <w:fldChar w:fldCharType="begin"/>
          </w:r>
          <w:r>
            <w:instrText xml:space="preserve"> DOCPROPERTY  OTID  \* MERGEFORMAT </w:instrText>
          </w:r>
          <w:r>
            <w:fldChar w:fldCharType="separate"/>
          </w:r>
          <w:r w:rsidR="003E3AAE">
            <w:t>23.114.2656</w:t>
          </w:r>
          <w:r>
            <w:fldChar w:fldCharType="end"/>
          </w:r>
        </w:p>
      </w:tc>
    </w:tr>
    <w:tr w:rsidR="005B32BC" w14:paraId="6C0F691E" w14:textId="77777777" w:rsidTr="009C1E9A">
      <w:trPr>
        <w:cantSplit/>
      </w:trPr>
      <w:tc>
        <w:tcPr>
          <w:tcW w:w="0" w:type="pct"/>
        </w:tcPr>
        <w:p w14:paraId="082AED1C" w14:textId="77777777" w:rsidR="00EC379B" w:rsidRDefault="00EC379B" w:rsidP="009C1E9A">
          <w:pPr>
            <w:pStyle w:val="Footer"/>
            <w:tabs>
              <w:tab w:val="clear" w:pos="4320"/>
              <w:tab w:val="clear" w:pos="8640"/>
              <w:tab w:val="left" w:pos="2865"/>
            </w:tabs>
          </w:pPr>
        </w:p>
      </w:tc>
      <w:tc>
        <w:tcPr>
          <w:tcW w:w="2395" w:type="pct"/>
        </w:tcPr>
        <w:p w14:paraId="71D6EE89" w14:textId="6F3A598E" w:rsidR="00EC379B" w:rsidRPr="009C1E9A" w:rsidRDefault="001307A0" w:rsidP="009C1E9A">
          <w:pPr>
            <w:pStyle w:val="Footer"/>
            <w:tabs>
              <w:tab w:val="clear" w:pos="4320"/>
              <w:tab w:val="clear" w:pos="8640"/>
              <w:tab w:val="left" w:pos="2865"/>
            </w:tabs>
            <w:rPr>
              <w:rFonts w:ascii="Shruti" w:hAnsi="Shruti"/>
              <w:sz w:val="22"/>
            </w:rPr>
          </w:pPr>
          <w:r>
            <w:rPr>
              <w:rFonts w:ascii="Shruti" w:hAnsi="Shruti"/>
              <w:sz w:val="22"/>
            </w:rPr>
            <w:t>Substitute Document Number: 88R 23671</w:t>
          </w:r>
        </w:p>
      </w:tc>
      <w:tc>
        <w:tcPr>
          <w:tcW w:w="2453" w:type="pct"/>
        </w:tcPr>
        <w:p w14:paraId="5D89F3C8" w14:textId="77777777" w:rsidR="00EC379B" w:rsidRDefault="00EC379B" w:rsidP="006D504F">
          <w:pPr>
            <w:pStyle w:val="Footer"/>
            <w:rPr>
              <w:rStyle w:val="PageNumber"/>
            </w:rPr>
          </w:pPr>
        </w:p>
        <w:p w14:paraId="105A1CCC" w14:textId="77777777" w:rsidR="00EC379B" w:rsidRDefault="00EC379B" w:rsidP="009C1E9A">
          <w:pPr>
            <w:pStyle w:val="Footer"/>
            <w:tabs>
              <w:tab w:val="clear" w:pos="8640"/>
              <w:tab w:val="right" w:pos="9360"/>
            </w:tabs>
            <w:jc w:val="right"/>
          </w:pPr>
        </w:p>
      </w:tc>
    </w:tr>
    <w:tr w:rsidR="005B32BC" w14:paraId="352D1C7D" w14:textId="77777777" w:rsidTr="009C1E9A">
      <w:trPr>
        <w:cantSplit/>
        <w:trHeight w:val="323"/>
      </w:trPr>
      <w:tc>
        <w:tcPr>
          <w:tcW w:w="0" w:type="pct"/>
          <w:gridSpan w:val="3"/>
        </w:tcPr>
        <w:p w14:paraId="264087C8" w14:textId="77777777" w:rsidR="00EC379B" w:rsidRDefault="001307A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4A5BC15" w14:textId="77777777" w:rsidR="00EC379B" w:rsidRDefault="00EC379B" w:rsidP="009C1E9A">
          <w:pPr>
            <w:pStyle w:val="Footer"/>
            <w:tabs>
              <w:tab w:val="clear" w:pos="8640"/>
              <w:tab w:val="right" w:pos="9360"/>
            </w:tabs>
            <w:jc w:val="center"/>
          </w:pPr>
        </w:p>
      </w:tc>
    </w:tr>
  </w:tbl>
  <w:p w14:paraId="1EAABD5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14C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8099" w14:textId="77777777" w:rsidR="00000000" w:rsidRDefault="001307A0">
      <w:r>
        <w:separator/>
      </w:r>
    </w:p>
  </w:footnote>
  <w:footnote w:type="continuationSeparator" w:id="0">
    <w:p w14:paraId="5C8A0007" w14:textId="77777777" w:rsidR="00000000" w:rsidRDefault="00130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790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53C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05D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319C1"/>
    <w:multiLevelType w:val="hybridMultilevel"/>
    <w:tmpl w:val="6F3255F0"/>
    <w:lvl w:ilvl="0" w:tplc="422282F6">
      <w:start w:val="1"/>
      <w:numFmt w:val="bullet"/>
      <w:lvlText w:val=""/>
      <w:lvlJc w:val="left"/>
      <w:pPr>
        <w:tabs>
          <w:tab w:val="num" w:pos="720"/>
        </w:tabs>
        <w:ind w:left="720" w:hanging="360"/>
      </w:pPr>
      <w:rPr>
        <w:rFonts w:ascii="Symbol" w:hAnsi="Symbol" w:hint="default"/>
      </w:rPr>
    </w:lvl>
    <w:lvl w:ilvl="1" w:tplc="8B2A565C" w:tentative="1">
      <w:start w:val="1"/>
      <w:numFmt w:val="bullet"/>
      <w:lvlText w:val="o"/>
      <w:lvlJc w:val="left"/>
      <w:pPr>
        <w:ind w:left="1440" w:hanging="360"/>
      </w:pPr>
      <w:rPr>
        <w:rFonts w:ascii="Courier New" w:hAnsi="Courier New" w:cs="Courier New" w:hint="default"/>
      </w:rPr>
    </w:lvl>
    <w:lvl w:ilvl="2" w:tplc="635C26E0" w:tentative="1">
      <w:start w:val="1"/>
      <w:numFmt w:val="bullet"/>
      <w:lvlText w:val=""/>
      <w:lvlJc w:val="left"/>
      <w:pPr>
        <w:ind w:left="2160" w:hanging="360"/>
      </w:pPr>
      <w:rPr>
        <w:rFonts w:ascii="Wingdings" w:hAnsi="Wingdings" w:hint="default"/>
      </w:rPr>
    </w:lvl>
    <w:lvl w:ilvl="3" w:tplc="AAF0548E" w:tentative="1">
      <w:start w:val="1"/>
      <w:numFmt w:val="bullet"/>
      <w:lvlText w:val=""/>
      <w:lvlJc w:val="left"/>
      <w:pPr>
        <w:ind w:left="2880" w:hanging="360"/>
      </w:pPr>
      <w:rPr>
        <w:rFonts w:ascii="Symbol" w:hAnsi="Symbol" w:hint="default"/>
      </w:rPr>
    </w:lvl>
    <w:lvl w:ilvl="4" w:tplc="2A043654" w:tentative="1">
      <w:start w:val="1"/>
      <w:numFmt w:val="bullet"/>
      <w:lvlText w:val="o"/>
      <w:lvlJc w:val="left"/>
      <w:pPr>
        <w:ind w:left="3600" w:hanging="360"/>
      </w:pPr>
      <w:rPr>
        <w:rFonts w:ascii="Courier New" w:hAnsi="Courier New" w:cs="Courier New" w:hint="default"/>
      </w:rPr>
    </w:lvl>
    <w:lvl w:ilvl="5" w:tplc="8CF65F1C" w:tentative="1">
      <w:start w:val="1"/>
      <w:numFmt w:val="bullet"/>
      <w:lvlText w:val=""/>
      <w:lvlJc w:val="left"/>
      <w:pPr>
        <w:ind w:left="4320" w:hanging="360"/>
      </w:pPr>
      <w:rPr>
        <w:rFonts w:ascii="Wingdings" w:hAnsi="Wingdings" w:hint="default"/>
      </w:rPr>
    </w:lvl>
    <w:lvl w:ilvl="6" w:tplc="1B4C9D36" w:tentative="1">
      <w:start w:val="1"/>
      <w:numFmt w:val="bullet"/>
      <w:lvlText w:val=""/>
      <w:lvlJc w:val="left"/>
      <w:pPr>
        <w:ind w:left="5040" w:hanging="360"/>
      </w:pPr>
      <w:rPr>
        <w:rFonts w:ascii="Symbol" w:hAnsi="Symbol" w:hint="default"/>
      </w:rPr>
    </w:lvl>
    <w:lvl w:ilvl="7" w:tplc="C8E82724" w:tentative="1">
      <w:start w:val="1"/>
      <w:numFmt w:val="bullet"/>
      <w:lvlText w:val="o"/>
      <w:lvlJc w:val="left"/>
      <w:pPr>
        <w:ind w:left="5760" w:hanging="360"/>
      </w:pPr>
      <w:rPr>
        <w:rFonts w:ascii="Courier New" w:hAnsi="Courier New" w:cs="Courier New" w:hint="default"/>
      </w:rPr>
    </w:lvl>
    <w:lvl w:ilvl="8" w:tplc="1146F0A6" w:tentative="1">
      <w:start w:val="1"/>
      <w:numFmt w:val="bullet"/>
      <w:lvlText w:val=""/>
      <w:lvlJc w:val="left"/>
      <w:pPr>
        <w:ind w:left="6480" w:hanging="360"/>
      </w:pPr>
      <w:rPr>
        <w:rFonts w:ascii="Wingdings" w:hAnsi="Wingdings" w:hint="default"/>
      </w:rPr>
    </w:lvl>
  </w:abstractNum>
  <w:abstractNum w:abstractNumId="1" w15:restartNumberingAfterBreak="0">
    <w:nsid w:val="363313DE"/>
    <w:multiLevelType w:val="hybridMultilevel"/>
    <w:tmpl w:val="C2804134"/>
    <w:lvl w:ilvl="0" w:tplc="14345086">
      <w:start w:val="1"/>
      <w:numFmt w:val="bullet"/>
      <w:lvlText w:val=""/>
      <w:lvlJc w:val="left"/>
      <w:pPr>
        <w:tabs>
          <w:tab w:val="num" w:pos="720"/>
        </w:tabs>
        <w:ind w:left="720" w:hanging="360"/>
      </w:pPr>
      <w:rPr>
        <w:rFonts w:ascii="Symbol" w:hAnsi="Symbol" w:hint="default"/>
      </w:rPr>
    </w:lvl>
    <w:lvl w:ilvl="1" w:tplc="74925EB4" w:tentative="1">
      <w:start w:val="1"/>
      <w:numFmt w:val="bullet"/>
      <w:lvlText w:val="o"/>
      <w:lvlJc w:val="left"/>
      <w:pPr>
        <w:ind w:left="1440" w:hanging="360"/>
      </w:pPr>
      <w:rPr>
        <w:rFonts w:ascii="Courier New" w:hAnsi="Courier New" w:cs="Courier New" w:hint="default"/>
      </w:rPr>
    </w:lvl>
    <w:lvl w:ilvl="2" w:tplc="9CA02B64" w:tentative="1">
      <w:start w:val="1"/>
      <w:numFmt w:val="bullet"/>
      <w:lvlText w:val=""/>
      <w:lvlJc w:val="left"/>
      <w:pPr>
        <w:ind w:left="2160" w:hanging="360"/>
      </w:pPr>
      <w:rPr>
        <w:rFonts w:ascii="Wingdings" w:hAnsi="Wingdings" w:hint="default"/>
      </w:rPr>
    </w:lvl>
    <w:lvl w:ilvl="3" w:tplc="1FA69A0E" w:tentative="1">
      <w:start w:val="1"/>
      <w:numFmt w:val="bullet"/>
      <w:lvlText w:val=""/>
      <w:lvlJc w:val="left"/>
      <w:pPr>
        <w:ind w:left="2880" w:hanging="360"/>
      </w:pPr>
      <w:rPr>
        <w:rFonts w:ascii="Symbol" w:hAnsi="Symbol" w:hint="default"/>
      </w:rPr>
    </w:lvl>
    <w:lvl w:ilvl="4" w:tplc="70A03B16" w:tentative="1">
      <w:start w:val="1"/>
      <w:numFmt w:val="bullet"/>
      <w:lvlText w:val="o"/>
      <w:lvlJc w:val="left"/>
      <w:pPr>
        <w:ind w:left="3600" w:hanging="360"/>
      </w:pPr>
      <w:rPr>
        <w:rFonts w:ascii="Courier New" w:hAnsi="Courier New" w:cs="Courier New" w:hint="default"/>
      </w:rPr>
    </w:lvl>
    <w:lvl w:ilvl="5" w:tplc="4D2C245E" w:tentative="1">
      <w:start w:val="1"/>
      <w:numFmt w:val="bullet"/>
      <w:lvlText w:val=""/>
      <w:lvlJc w:val="left"/>
      <w:pPr>
        <w:ind w:left="4320" w:hanging="360"/>
      </w:pPr>
      <w:rPr>
        <w:rFonts w:ascii="Wingdings" w:hAnsi="Wingdings" w:hint="default"/>
      </w:rPr>
    </w:lvl>
    <w:lvl w:ilvl="6" w:tplc="8B1AE864" w:tentative="1">
      <w:start w:val="1"/>
      <w:numFmt w:val="bullet"/>
      <w:lvlText w:val=""/>
      <w:lvlJc w:val="left"/>
      <w:pPr>
        <w:ind w:left="5040" w:hanging="360"/>
      </w:pPr>
      <w:rPr>
        <w:rFonts w:ascii="Symbol" w:hAnsi="Symbol" w:hint="default"/>
      </w:rPr>
    </w:lvl>
    <w:lvl w:ilvl="7" w:tplc="D2D4A960" w:tentative="1">
      <w:start w:val="1"/>
      <w:numFmt w:val="bullet"/>
      <w:lvlText w:val="o"/>
      <w:lvlJc w:val="left"/>
      <w:pPr>
        <w:ind w:left="5760" w:hanging="360"/>
      </w:pPr>
      <w:rPr>
        <w:rFonts w:ascii="Courier New" w:hAnsi="Courier New" w:cs="Courier New" w:hint="default"/>
      </w:rPr>
    </w:lvl>
    <w:lvl w:ilvl="8" w:tplc="3EE2BD18" w:tentative="1">
      <w:start w:val="1"/>
      <w:numFmt w:val="bullet"/>
      <w:lvlText w:val=""/>
      <w:lvlJc w:val="left"/>
      <w:pPr>
        <w:ind w:left="6480" w:hanging="360"/>
      </w:pPr>
      <w:rPr>
        <w:rFonts w:ascii="Wingdings" w:hAnsi="Wingdings" w:hint="default"/>
      </w:rPr>
    </w:lvl>
  </w:abstractNum>
  <w:abstractNum w:abstractNumId="2" w15:restartNumberingAfterBreak="0">
    <w:nsid w:val="7ACC335B"/>
    <w:multiLevelType w:val="hybridMultilevel"/>
    <w:tmpl w:val="E458BD52"/>
    <w:lvl w:ilvl="0" w:tplc="C72C8BF2">
      <w:start w:val="1"/>
      <w:numFmt w:val="bullet"/>
      <w:lvlText w:val=""/>
      <w:lvlJc w:val="left"/>
      <w:pPr>
        <w:tabs>
          <w:tab w:val="num" w:pos="720"/>
        </w:tabs>
        <w:ind w:left="720" w:hanging="360"/>
      </w:pPr>
      <w:rPr>
        <w:rFonts w:ascii="Symbol" w:hAnsi="Symbol" w:hint="default"/>
      </w:rPr>
    </w:lvl>
    <w:lvl w:ilvl="1" w:tplc="4412CA00" w:tentative="1">
      <w:start w:val="1"/>
      <w:numFmt w:val="bullet"/>
      <w:lvlText w:val="o"/>
      <w:lvlJc w:val="left"/>
      <w:pPr>
        <w:ind w:left="1440" w:hanging="360"/>
      </w:pPr>
      <w:rPr>
        <w:rFonts w:ascii="Courier New" w:hAnsi="Courier New" w:cs="Courier New" w:hint="default"/>
      </w:rPr>
    </w:lvl>
    <w:lvl w:ilvl="2" w:tplc="D7CE8090" w:tentative="1">
      <w:start w:val="1"/>
      <w:numFmt w:val="bullet"/>
      <w:lvlText w:val=""/>
      <w:lvlJc w:val="left"/>
      <w:pPr>
        <w:ind w:left="2160" w:hanging="360"/>
      </w:pPr>
      <w:rPr>
        <w:rFonts w:ascii="Wingdings" w:hAnsi="Wingdings" w:hint="default"/>
      </w:rPr>
    </w:lvl>
    <w:lvl w:ilvl="3" w:tplc="7CEA9C66" w:tentative="1">
      <w:start w:val="1"/>
      <w:numFmt w:val="bullet"/>
      <w:lvlText w:val=""/>
      <w:lvlJc w:val="left"/>
      <w:pPr>
        <w:ind w:left="2880" w:hanging="360"/>
      </w:pPr>
      <w:rPr>
        <w:rFonts w:ascii="Symbol" w:hAnsi="Symbol" w:hint="default"/>
      </w:rPr>
    </w:lvl>
    <w:lvl w:ilvl="4" w:tplc="950C99E2" w:tentative="1">
      <w:start w:val="1"/>
      <w:numFmt w:val="bullet"/>
      <w:lvlText w:val="o"/>
      <w:lvlJc w:val="left"/>
      <w:pPr>
        <w:ind w:left="3600" w:hanging="360"/>
      </w:pPr>
      <w:rPr>
        <w:rFonts w:ascii="Courier New" w:hAnsi="Courier New" w:cs="Courier New" w:hint="default"/>
      </w:rPr>
    </w:lvl>
    <w:lvl w:ilvl="5" w:tplc="E736953A" w:tentative="1">
      <w:start w:val="1"/>
      <w:numFmt w:val="bullet"/>
      <w:lvlText w:val=""/>
      <w:lvlJc w:val="left"/>
      <w:pPr>
        <w:ind w:left="4320" w:hanging="360"/>
      </w:pPr>
      <w:rPr>
        <w:rFonts w:ascii="Wingdings" w:hAnsi="Wingdings" w:hint="default"/>
      </w:rPr>
    </w:lvl>
    <w:lvl w:ilvl="6" w:tplc="5942A130" w:tentative="1">
      <w:start w:val="1"/>
      <w:numFmt w:val="bullet"/>
      <w:lvlText w:val=""/>
      <w:lvlJc w:val="left"/>
      <w:pPr>
        <w:ind w:left="5040" w:hanging="360"/>
      </w:pPr>
      <w:rPr>
        <w:rFonts w:ascii="Symbol" w:hAnsi="Symbol" w:hint="default"/>
      </w:rPr>
    </w:lvl>
    <w:lvl w:ilvl="7" w:tplc="28105874" w:tentative="1">
      <w:start w:val="1"/>
      <w:numFmt w:val="bullet"/>
      <w:lvlText w:val="o"/>
      <w:lvlJc w:val="left"/>
      <w:pPr>
        <w:ind w:left="5760" w:hanging="360"/>
      </w:pPr>
      <w:rPr>
        <w:rFonts w:ascii="Courier New" w:hAnsi="Courier New" w:cs="Courier New" w:hint="default"/>
      </w:rPr>
    </w:lvl>
    <w:lvl w:ilvl="8" w:tplc="D58AC0C6" w:tentative="1">
      <w:start w:val="1"/>
      <w:numFmt w:val="bullet"/>
      <w:lvlText w:val=""/>
      <w:lvlJc w:val="left"/>
      <w:pPr>
        <w:ind w:left="6480" w:hanging="360"/>
      </w:pPr>
      <w:rPr>
        <w:rFonts w:ascii="Wingdings" w:hAnsi="Wingdings" w:hint="default"/>
      </w:rPr>
    </w:lvl>
  </w:abstractNum>
  <w:abstractNum w:abstractNumId="3" w15:restartNumberingAfterBreak="0">
    <w:nsid w:val="7CE415E3"/>
    <w:multiLevelType w:val="hybridMultilevel"/>
    <w:tmpl w:val="CA906FF6"/>
    <w:lvl w:ilvl="0" w:tplc="B01EDB92">
      <w:start w:val="1"/>
      <w:numFmt w:val="bullet"/>
      <w:lvlText w:val=""/>
      <w:lvlJc w:val="left"/>
      <w:pPr>
        <w:tabs>
          <w:tab w:val="num" w:pos="779"/>
        </w:tabs>
        <w:ind w:left="779" w:hanging="360"/>
      </w:pPr>
      <w:rPr>
        <w:rFonts w:ascii="Symbol" w:hAnsi="Symbol" w:hint="default"/>
      </w:rPr>
    </w:lvl>
    <w:lvl w:ilvl="1" w:tplc="18A604D8">
      <w:start w:val="1"/>
      <w:numFmt w:val="bullet"/>
      <w:lvlText w:val="o"/>
      <w:lvlJc w:val="left"/>
      <w:pPr>
        <w:ind w:left="1499" w:hanging="360"/>
      </w:pPr>
      <w:rPr>
        <w:rFonts w:ascii="Courier New" w:hAnsi="Courier New" w:cs="Courier New" w:hint="default"/>
      </w:rPr>
    </w:lvl>
    <w:lvl w:ilvl="2" w:tplc="49C4602E" w:tentative="1">
      <w:start w:val="1"/>
      <w:numFmt w:val="bullet"/>
      <w:lvlText w:val=""/>
      <w:lvlJc w:val="left"/>
      <w:pPr>
        <w:ind w:left="2219" w:hanging="360"/>
      </w:pPr>
      <w:rPr>
        <w:rFonts w:ascii="Wingdings" w:hAnsi="Wingdings" w:hint="default"/>
      </w:rPr>
    </w:lvl>
    <w:lvl w:ilvl="3" w:tplc="3334A54C" w:tentative="1">
      <w:start w:val="1"/>
      <w:numFmt w:val="bullet"/>
      <w:lvlText w:val=""/>
      <w:lvlJc w:val="left"/>
      <w:pPr>
        <w:ind w:left="2939" w:hanging="360"/>
      </w:pPr>
      <w:rPr>
        <w:rFonts w:ascii="Symbol" w:hAnsi="Symbol" w:hint="default"/>
      </w:rPr>
    </w:lvl>
    <w:lvl w:ilvl="4" w:tplc="E84082AE" w:tentative="1">
      <w:start w:val="1"/>
      <w:numFmt w:val="bullet"/>
      <w:lvlText w:val="o"/>
      <w:lvlJc w:val="left"/>
      <w:pPr>
        <w:ind w:left="3659" w:hanging="360"/>
      </w:pPr>
      <w:rPr>
        <w:rFonts w:ascii="Courier New" w:hAnsi="Courier New" w:cs="Courier New" w:hint="default"/>
      </w:rPr>
    </w:lvl>
    <w:lvl w:ilvl="5" w:tplc="D4BE05CA" w:tentative="1">
      <w:start w:val="1"/>
      <w:numFmt w:val="bullet"/>
      <w:lvlText w:val=""/>
      <w:lvlJc w:val="left"/>
      <w:pPr>
        <w:ind w:left="4379" w:hanging="360"/>
      </w:pPr>
      <w:rPr>
        <w:rFonts w:ascii="Wingdings" w:hAnsi="Wingdings" w:hint="default"/>
      </w:rPr>
    </w:lvl>
    <w:lvl w:ilvl="6" w:tplc="827EB306" w:tentative="1">
      <w:start w:val="1"/>
      <w:numFmt w:val="bullet"/>
      <w:lvlText w:val=""/>
      <w:lvlJc w:val="left"/>
      <w:pPr>
        <w:ind w:left="5099" w:hanging="360"/>
      </w:pPr>
      <w:rPr>
        <w:rFonts w:ascii="Symbol" w:hAnsi="Symbol" w:hint="default"/>
      </w:rPr>
    </w:lvl>
    <w:lvl w:ilvl="7" w:tplc="8C842398" w:tentative="1">
      <w:start w:val="1"/>
      <w:numFmt w:val="bullet"/>
      <w:lvlText w:val="o"/>
      <w:lvlJc w:val="left"/>
      <w:pPr>
        <w:ind w:left="5819" w:hanging="360"/>
      </w:pPr>
      <w:rPr>
        <w:rFonts w:ascii="Courier New" w:hAnsi="Courier New" w:cs="Courier New" w:hint="default"/>
      </w:rPr>
    </w:lvl>
    <w:lvl w:ilvl="8" w:tplc="FB661EEC" w:tentative="1">
      <w:start w:val="1"/>
      <w:numFmt w:val="bullet"/>
      <w:lvlText w:val=""/>
      <w:lvlJc w:val="left"/>
      <w:pPr>
        <w:ind w:left="653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3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3983"/>
    <w:rsid w:val="00074236"/>
    <w:rsid w:val="000746BD"/>
    <w:rsid w:val="00076D7D"/>
    <w:rsid w:val="00080D95"/>
    <w:rsid w:val="00090E6B"/>
    <w:rsid w:val="00091B2C"/>
    <w:rsid w:val="00092ABC"/>
    <w:rsid w:val="00097AAF"/>
    <w:rsid w:val="00097D13"/>
    <w:rsid w:val="000A4893"/>
    <w:rsid w:val="000A4F6E"/>
    <w:rsid w:val="000A54E0"/>
    <w:rsid w:val="000A626C"/>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6F8"/>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0A6"/>
    <w:rsid w:val="00127893"/>
    <w:rsid w:val="001307A0"/>
    <w:rsid w:val="001312BB"/>
    <w:rsid w:val="00137D90"/>
    <w:rsid w:val="00141FB6"/>
    <w:rsid w:val="00142F8E"/>
    <w:rsid w:val="00143C8B"/>
    <w:rsid w:val="00147530"/>
    <w:rsid w:val="001526AE"/>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547"/>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46F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1E4"/>
    <w:rsid w:val="003D726D"/>
    <w:rsid w:val="003E0875"/>
    <w:rsid w:val="003E0BB8"/>
    <w:rsid w:val="003E3AAE"/>
    <w:rsid w:val="003E6CB0"/>
    <w:rsid w:val="003F1F5E"/>
    <w:rsid w:val="003F286A"/>
    <w:rsid w:val="003F2CC5"/>
    <w:rsid w:val="003F73D4"/>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6F20"/>
    <w:rsid w:val="00467AF8"/>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FA0"/>
    <w:rsid w:val="005269CE"/>
    <w:rsid w:val="005304B2"/>
    <w:rsid w:val="005336BD"/>
    <w:rsid w:val="00534A49"/>
    <w:rsid w:val="005363BB"/>
    <w:rsid w:val="00541B98"/>
    <w:rsid w:val="00543374"/>
    <w:rsid w:val="00545548"/>
    <w:rsid w:val="00546923"/>
    <w:rsid w:val="00551CA6"/>
    <w:rsid w:val="00555034"/>
    <w:rsid w:val="00556D1D"/>
    <w:rsid w:val="005570D2"/>
    <w:rsid w:val="00561528"/>
    <w:rsid w:val="0056153F"/>
    <w:rsid w:val="00561B14"/>
    <w:rsid w:val="00562C87"/>
    <w:rsid w:val="005636BD"/>
    <w:rsid w:val="00563D25"/>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2BC"/>
    <w:rsid w:val="005B3C13"/>
    <w:rsid w:val="005B5516"/>
    <w:rsid w:val="005B5D2B"/>
    <w:rsid w:val="005C1496"/>
    <w:rsid w:val="005C17C5"/>
    <w:rsid w:val="005C2B21"/>
    <w:rsid w:val="005C2C00"/>
    <w:rsid w:val="005C4C6F"/>
    <w:rsid w:val="005C5127"/>
    <w:rsid w:val="005C7CCB"/>
    <w:rsid w:val="005D0DD9"/>
    <w:rsid w:val="005D1444"/>
    <w:rsid w:val="005D4DAE"/>
    <w:rsid w:val="005D767D"/>
    <w:rsid w:val="005D7A30"/>
    <w:rsid w:val="005D7D3B"/>
    <w:rsid w:val="005E1999"/>
    <w:rsid w:val="005E232C"/>
    <w:rsid w:val="005E2B83"/>
    <w:rsid w:val="005E4AEB"/>
    <w:rsid w:val="005E738F"/>
    <w:rsid w:val="005E788B"/>
    <w:rsid w:val="005F1519"/>
    <w:rsid w:val="005F4862"/>
    <w:rsid w:val="005F54E1"/>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9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487"/>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6BBB"/>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5F0"/>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748E"/>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8F7"/>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BDD"/>
    <w:rsid w:val="00915568"/>
    <w:rsid w:val="00917E0C"/>
    <w:rsid w:val="00920711"/>
    <w:rsid w:val="00921427"/>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6FBC"/>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2DB"/>
    <w:rsid w:val="00B149AC"/>
    <w:rsid w:val="00B14BD2"/>
    <w:rsid w:val="00B1557F"/>
    <w:rsid w:val="00B1668D"/>
    <w:rsid w:val="00B17981"/>
    <w:rsid w:val="00B233BB"/>
    <w:rsid w:val="00B25612"/>
    <w:rsid w:val="00B26437"/>
    <w:rsid w:val="00B2678E"/>
    <w:rsid w:val="00B27B92"/>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50D1"/>
    <w:rsid w:val="00B80532"/>
    <w:rsid w:val="00B82039"/>
    <w:rsid w:val="00B82454"/>
    <w:rsid w:val="00B90097"/>
    <w:rsid w:val="00B90999"/>
    <w:rsid w:val="00B91AD7"/>
    <w:rsid w:val="00B92D23"/>
    <w:rsid w:val="00B95BC8"/>
    <w:rsid w:val="00B96E87"/>
    <w:rsid w:val="00BA146A"/>
    <w:rsid w:val="00BA32EE"/>
    <w:rsid w:val="00BB3852"/>
    <w:rsid w:val="00BB5B36"/>
    <w:rsid w:val="00BC027B"/>
    <w:rsid w:val="00BC30A6"/>
    <w:rsid w:val="00BC3ED3"/>
    <w:rsid w:val="00BC3EF6"/>
    <w:rsid w:val="00BC4E34"/>
    <w:rsid w:val="00BC51D0"/>
    <w:rsid w:val="00BC5633"/>
    <w:rsid w:val="00BC58E1"/>
    <w:rsid w:val="00BC59CA"/>
    <w:rsid w:val="00BC6462"/>
    <w:rsid w:val="00BD05A1"/>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4A36"/>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EC5"/>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2A4B"/>
    <w:rsid w:val="00D22160"/>
    <w:rsid w:val="00D22172"/>
    <w:rsid w:val="00D2301B"/>
    <w:rsid w:val="00D239EE"/>
    <w:rsid w:val="00D30534"/>
    <w:rsid w:val="00D35728"/>
    <w:rsid w:val="00D359A7"/>
    <w:rsid w:val="00D37BCF"/>
    <w:rsid w:val="00D40F93"/>
    <w:rsid w:val="00D42277"/>
    <w:rsid w:val="00D43A2D"/>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667"/>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3A9"/>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2C04"/>
    <w:rsid w:val="00F84153"/>
    <w:rsid w:val="00F85661"/>
    <w:rsid w:val="00F96602"/>
    <w:rsid w:val="00F9735A"/>
    <w:rsid w:val="00FA32FC"/>
    <w:rsid w:val="00FA59FD"/>
    <w:rsid w:val="00FA5D8C"/>
    <w:rsid w:val="00FA6403"/>
    <w:rsid w:val="00FB16CD"/>
    <w:rsid w:val="00FB694A"/>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551B52-019D-4592-8964-2B2DCA00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14933"/>
    <w:rPr>
      <w:sz w:val="16"/>
      <w:szCs w:val="16"/>
    </w:rPr>
  </w:style>
  <w:style w:type="paragraph" w:styleId="CommentText">
    <w:name w:val="annotation text"/>
    <w:basedOn w:val="Normal"/>
    <w:link w:val="CommentTextChar"/>
    <w:semiHidden/>
    <w:unhideWhenUsed/>
    <w:rsid w:val="00614933"/>
    <w:rPr>
      <w:sz w:val="20"/>
      <w:szCs w:val="20"/>
    </w:rPr>
  </w:style>
  <w:style w:type="character" w:customStyle="1" w:styleId="CommentTextChar">
    <w:name w:val="Comment Text Char"/>
    <w:basedOn w:val="DefaultParagraphFont"/>
    <w:link w:val="CommentText"/>
    <w:semiHidden/>
    <w:rsid w:val="00614933"/>
  </w:style>
  <w:style w:type="paragraph" w:styleId="CommentSubject">
    <w:name w:val="annotation subject"/>
    <w:basedOn w:val="CommentText"/>
    <w:next w:val="CommentText"/>
    <w:link w:val="CommentSubjectChar"/>
    <w:semiHidden/>
    <w:unhideWhenUsed/>
    <w:rsid w:val="00614933"/>
    <w:rPr>
      <w:b/>
      <w:bCs/>
    </w:rPr>
  </w:style>
  <w:style w:type="character" w:customStyle="1" w:styleId="CommentSubjectChar">
    <w:name w:val="Comment Subject Char"/>
    <w:basedOn w:val="CommentTextChar"/>
    <w:link w:val="CommentSubject"/>
    <w:semiHidden/>
    <w:rsid w:val="00614933"/>
    <w:rPr>
      <w:b/>
      <w:bCs/>
    </w:rPr>
  </w:style>
  <w:style w:type="paragraph" w:styleId="Revision">
    <w:name w:val="Revision"/>
    <w:hidden/>
    <w:uiPriority w:val="99"/>
    <w:semiHidden/>
    <w:rsid w:val="00073983"/>
    <w:rPr>
      <w:sz w:val="24"/>
      <w:szCs w:val="24"/>
    </w:rPr>
  </w:style>
  <w:style w:type="paragraph" w:styleId="ListParagraph">
    <w:name w:val="List Paragraph"/>
    <w:basedOn w:val="Normal"/>
    <w:uiPriority w:val="34"/>
    <w:qFormat/>
    <w:rsid w:val="005D0DD9"/>
    <w:pPr>
      <w:ind w:left="720"/>
      <w:contextualSpacing/>
    </w:pPr>
  </w:style>
  <w:style w:type="character" w:styleId="Hyperlink">
    <w:name w:val="Hyperlink"/>
    <w:basedOn w:val="DefaultParagraphFont"/>
    <w:unhideWhenUsed/>
    <w:rsid w:val="003F2CC5"/>
    <w:rPr>
      <w:color w:val="0000FF" w:themeColor="hyperlink"/>
      <w:u w:val="single"/>
    </w:rPr>
  </w:style>
  <w:style w:type="character" w:customStyle="1" w:styleId="UnresolvedMention1">
    <w:name w:val="Unresolved Mention1"/>
    <w:basedOn w:val="DefaultParagraphFont"/>
    <w:uiPriority w:val="99"/>
    <w:semiHidden/>
    <w:unhideWhenUsed/>
    <w:rsid w:val="003F2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3351</Characters>
  <Application>Microsoft Office Word</Application>
  <DocSecurity>4</DocSecurity>
  <Lines>81</Lines>
  <Paragraphs>25</Paragraphs>
  <ScaleCrop>false</ScaleCrop>
  <HeadingPairs>
    <vt:vector size="2" baseType="variant">
      <vt:variant>
        <vt:lpstr>Title</vt:lpstr>
      </vt:variant>
      <vt:variant>
        <vt:i4>1</vt:i4>
      </vt:variant>
    </vt:vector>
  </HeadingPairs>
  <TitlesOfParts>
    <vt:vector size="1" baseType="lpstr">
      <vt:lpstr>BA - HB03102 (Committee Report (Substituted))</vt:lpstr>
    </vt:vector>
  </TitlesOfParts>
  <Company>State of Texas</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25734</dc:subject>
  <dc:creator>State of Texas</dc:creator>
  <dc:description>HB 3102 by Lambert-(H)Business &amp; Industry (Substitute Document Number: 88R 23671)</dc:description>
  <cp:lastModifiedBy>Alan Gonzalez Otero</cp:lastModifiedBy>
  <cp:revision>2</cp:revision>
  <cp:lastPrinted>2003-11-26T17:21:00Z</cp:lastPrinted>
  <dcterms:created xsi:type="dcterms:W3CDTF">2023-05-03T01:25:00Z</dcterms:created>
  <dcterms:modified xsi:type="dcterms:W3CDTF">2023-05-03T01:25:00Z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23.114.2656</vt:lpwstr>
  </property>
</Properties>
</file>