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57C2D" w14:paraId="0C2FC786" w14:textId="77777777" w:rsidTr="00345119">
        <w:tc>
          <w:tcPr>
            <w:tcW w:w="9576" w:type="dxa"/>
            <w:noWrap/>
          </w:tcPr>
          <w:p w14:paraId="1609AC9D" w14:textId="77777777" w:rsidR="008423E4" w:rsidRPr="0022177D" w:rsidRDefault="00506548" w:rsidP="00C37716">
            <w:pPr>
              <w:pStyle w:val="Heading1"/>
            </w:pPr>
            <w:r w:rsidRPr="00631897">
              <w:t>BILL ANALYSIS</w:t>
            </w:r>
          </w:p>
        </w:tc>
      </w:tr>
    </w:tbl>
    <w:p w14:paraId="200613E8" w14:textId="77777777" w:rsidR="008423E4" w:rsidRPr="0022177D" w:rsidRDefault="008423E4" w:rsidP="00C37716">
      <w:pPr>
        <w:jc w:val="center"/>
      </w:pPr>
    </w:p>
    <w:p w14:paraId="243675E9" w14:textId="77777777" w:rsidR="008423E4" w:rsidRPr="00B31F0E" w:rsidRDefault="008423E4" w:rsidP="00C37716"/>
    <w:p w14:paraId="58564230" w14:textId="77777777" w:rsidR="008423E4" w:rsidRPr="00742794" w:rsidRDefault="008423E4" w:rsidP="00C3771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57C2D" w14:paraId="3247740C" w14:textId="77777777" w:rsidTr="00345119">
        <w:tc>
          <w:tcPr>
            <w:tcW w:w="9576" w:type="dxa"/>
          </w:tcPr>
          <w:p w14:paraId="0035FD6A" w14:textId="13F92ECB" w:rsidR="008423E4" w:rsidRPr="00861995" w:rsidRDefault="00506548" w:rsidP="00C37716">
            <w:pPr>
              <w:jc w:val="right"/>
            </w:pPr>
            <w:r>
              <w:t>H.B. 3115</w:t>
            </w:r>
          </w:p>
        </w:tc>
      </w:tr>
      <w:tr w:rsidR="00D57C2D" w14:paraId="5E92F715" w14:textId="77777777" w:rsidTr="00345119">
        <w:tc>
          <w:tcPr>
            <w:tcW w:w="9576" w:type="dxa"/>
          </w:tcPr>
          <w:p w14:paraId="7A3BAE19" w14:textId="5984DDC3" w:rsidR="008423E4" w:rsidRPr="00861995" w:rsidRDefault="00506548" w:rsidP="00C37716">
            <w:pPr>
              <w:jc w:val="right"/>
            </w:pPr>
            <w:r>
              <w:t xml:space="preserve">By: </w:t>
            </w:r>
            <w:r w:rsidR="004817D6">
              <w:t>Morales, Eddie</w:t>
            </w:r>
          </w:p>
        </w:tc>
      </w:tr>
      <w:tr w:rsidR="00D57C2D" w14:paraId="5B61D56F" w14:textId="77777777" w:rsidTr="00345119">
        <w:tc>
          <w:tcPr>
            <w:tcW w:w="9576" w:type="dxa"/>
          </w:tcPr>
          <w:p w14:paraId="471DC02A" w14:textId="593C6EA2" w:rsidR="008423E4" w:rsidRPr="00861995" w:rsidRDefault="00506548" w:rsidP="00C37716">
            <w:pPr>
              <w:jc w:val="right"/>
            </w:pPr>
            <w:r>
              <w:t>Judiciary &amp; Civil Jurisprudence</w:t>
            </w:r>
          </w:p>
        </w:tc>
      </w:tr>
      <w:tr w:rsidR="00D57C2D" w14:paraId="3EFF6F5B" w14:textId="77777777" w:rsidTr="00345119">
        <w:tc>
          <w:tcPr>
            <w:tcW w:w="9576" w:type="dxa"/>
          </w:tcPr>
          <w:p w14:paraId="5345FCC8" w14:textId="7E6D3329" w:rsidR="008423E4" w:rsidRDefault="00506548" w:rsidP="00C37716">
            <w:pPr>
              <w:jc w:val="right"/>
            </w:pPr>
            <w:r>
              <w:t>Committee Report (Unamended)</w:t>
            </w:r>
          </w:p>
        </w:tc>
      </w:tr>
    </w:tbl>
    <w:p w14:paraId="685FC2B5" w14:textId="77777777" w:rsidR="008423E4" w:rsidRDefault="008423E4" w:rsidP="00C37716">
      <w:pPr>
        <w:tabs>
          <w:tab w:val="right" w:pos="9360"/>
        </w:tabs>
      </w:pPr>
    </w:p>
    <w:p w14:paraId="3CBD92FD" w14:textId="77777777" w:rsidR="008423E4" w:rsidRDefault="008423E4" w:rsidP="00C37716"/>
    <w:p w14:paraId="4FBCC9B4" w14:textId="77777777" w:rsidR="008423E4" w:rsidRDefault="008423E4" w:rsidP="00C3771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57C2D" w14:paraId="292D52CF" w14:textId="77777777" w:rsidTr="00345119">
        <w:tc>
          <w:tcPr>
            <w:tcW w:w="9576" w:type="dxa"/>
          </w:tcPr>
          <w:p w14:paraId="1892D768" w14:textId="77777777" w:rsidR="008423E4" w:rsidRPr="00A8133F" w:rsidRDefault="00506548" w:rsidP="005F58E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45E8287" w14:textId="77777777" w:rsidR="008423E4" w:rsidRDefault="008423E4" w:rsidP="005F58E5"/>
          <w:p w14:paraId="4036924D" w14:textId="51839108" w:rsidR="00CF573D" w:rsidRDefault="00506548" w:rsidP="005F58E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In Texas, certain retired or former judges are eligible for assignment to a case in the judge</w:t>
            </w:r>
            <w:r w:rsidR="006C1A9B">
              <w:t>'</w:t>
            </w:r>
            <w:r>
              <w:t xml:space="preserve">s area of specialty as a visiting judge under the Court Administration Act. However, retired and former district court judges are currently ineligible to be </w:t>
            </w:r>
            <w:r w:rsidR="00B160D5">
              <w:t xml:space="preserve">included </w:t>
            </w:r>
            <w:r>
              <w:t>on the list of eligible judges subject to assignment if they have ever been formally repri</w:t>
            </w:r>
            <w:r>
              <w:t>manded by the State Commission on Judicial Conduct</w:t>
            </w:r>
            <w:r w:rsidR="00B160D5">
              <w:t xml:space="preserve"> (SCJC)</w:t>
            </w:r>
            <w:r>
              <w:t>. Due to high caseload in many areas,</w:t>
            </w:r>
            <w:r w:rsidR="00B160D5" w:rsidRPr="00B160D5">
              <w:t xml:space="preserve"> </w:t>
            </w:r>
            <w:r>
              <w:t xml:space="preserve">especially in regions on and around the border, </w:t>
            </w:r>
            <w:r w:rsidR="00B160D5">
              <w:t xml:space="preserve">these judges </w:t>
            </w:r>
            <w:r w:rsidR="0079756C">
              <w:t>should</w:t>
            </w:r>
            <w:r w:rsidR="00B160D5">
              <w:t xml:space="preserve"> be included on the list</w:t>
            </w:r>
            <w:r w:rsidR="002B3CB4">
              <w:t xml:space="preserve"> and subject to assignment as visiting judges</w:t>
            </w:r>
            <w:r w:rsidR="0079756C">
              <w:t xml:space="preserve"> if considerable time has passed since their reprimand</w:t>
            </w:r>
            <w:r w:rsidR="00B160D5">
              <w:t>. H.B. 3</w:t>
            </w:r>
            <w:r w:rsidR="009943DA">
              <w:t>11</w:t>
            </w:r>
            <w:r w:rsidR="00B160D5">
              <w:t xml:space="preserve">5 seeks to </w:t>
            </w:r>
            <w:r>
              <w:t>help alleviate the</w:t>
            </w:r>
            <w:r w:rsidR="00B160D5">
              <w:t xml:space="preserve"> increasing</w:t>
            </w:r>
            <w:r>
              <w:t xml:space="preserve"> caseload by </w:t>
            </w:r>
            <w:r w:rsidR="00B160D5">
              <w:t>allowing</w:t>
            </w:r>
            <w:r w:rsidR="002B3CB4">
              <w:t xml:space="preserve"> otherwise eligible</w:t>
            </w:r>
            <w:r w:rsidR="00B160D5">
              <w:t xml:space="preserve"> </w:t>
            </w:r>
            <w:r w:rsidRPr="00CF573D">
              <w:t>judges</w:t>
            </w:r>
            <w:r w:rsidR="0079756C">
              <w:t xml:space="preserve"> to serve as visiting judges</w:t>
            </w:r>
            <w:r w:rsidRPr="00CF573D">
              <w:t xml:space="preserve"> as long as they have not been reprimanded or censured by </w:t>
            </w:r>
            <w:r w:rsidR="006C1A9B">
              <w:t xml:space="preserve">the </w:t>
            </w:r>
            <w:r w:rsidRPr="00CF573D">
              <w:t>SCJC in over 15 years.</w:t>
            </w:r>
          </w:p>
          <w:p w14:paraId="62531A85" w14:textId="77777777" w:rsidR="008423E4" w:rsidRPr="00E26B13" w:rsidRDefault="008423E4" w:rsidP="005F58E5">
            <w:pPr>
              <w:rPr>
                <w:b/>
              </w:rPr>
            </w:pPr>
          </w:p>
        </w:tc>
      </w:tr>
      <w:tr w:rsidR="00D57C2D" w14:paraId="6D8F0820" w14:textId="77777777" w:rsidTr="00345119">
        <w:tc>
          <w:tcPr>
            <w:tcW w:w="9576" w:type="dxa"/>
          </w:tcPr>
          <w:p w14:paraId="4ACE97A8" w14:textId="77777777" w:rsidR="0017725B" w:rsidRDefault="00506548" w:rsidP="005F58E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</w:t>
            </w:r>
            <w:r>
              <w:rPr>
                <w:b/>
                <w:u w:val="single"/>
              </w:rPr>
              <w:t>E IMPACT</w:t>
            </w:r>
          </w:p>
          <w:p w14:paraId="729CD44E" w14:textId="77777777" w:rsidR="0017725B" w:rsidRDefault="0017725B" w:rsidP="005F58E5">
            <w:pPr>
              <w:rPr>
                <w:b/>
                <w:u w:val="single"/>
              </w:rPr>
            </w:pPr>
          </w:p>
          <w:p w14:paraId="0589B118" w14:textId="77777777" w:rsidR="00D73B1A" w:rsidRPr="00D73B1A" w:rsidRDefault="00506548" w:rsidP="005F58E5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</w:t>
            </w:r>
            <w:r>
              <w:t>supervision, parole, or mandatory supervision.</w:t>
            </w:r>
          </w:p>
          <w:p w14:paraId="0E5BA9D5" w14:textId="77777777" w:rsidR="0017725B" w:rsidRPr="0017725B" w:rsidRDefault="0017725B" w:rsidP="005F58E5">
            <w:pPr>
              <w:rPr>
                <w:b/>
                <w:u w:val="single"/>
              </w:rPr>
            </w:pPr>
          </w:p>
        </w:tc>
      </w:tr>
      <w:tr w:rsidR="00D57C2D" w14:paraId="2D82909F" w14:textId="77777777" w:rsidTr="00345119">
        <w:tc>
          <w:tcPr>
            <w:tcW w:w="9576" w:type="dxa"/>
          </w:tcPr>
          <w:p w14:paraId="233792DC" w14:textId="77777777" w:rsidR="008423E4" w:rsidRPr="00A8133F" w:rsidRDefault="00506548" w:rsidP="005F58E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609D6AB" w14:textId="77777777" w:rsidR="008423E4" w:rsidRDefault="008423E4" w:rsidP="005F58E5"/>
          <w:p w14:paraId="627D224E" w14:textId="77777777" w:rsidR="00D73B1A" w:rsidRDefault="00506548" w:rsidP="005F58E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599EF69" w14:textId="77777777" w:rsidR="008423E4" w:rsidRPr="00E21FDC" w:rsidRDefault="008423E4" w:rsidP="005F58E5">
            <w:pPr>
              <w:rPr>
                <w:b/>
              </w:rPr>
            </w:pPr>
          </w:p>
        </w:tc>
      </w:tr>
      <w:tr w:rsidR="00D57C2D" w14:paraId="77D71D53" w14:textId="77777777" w:rsidTr="00345119">
        <w:tc>
          <w:tcPr>
            <w:tcW w:w="9576" w:type="dxa"/>
          </w:tcPr>
          <w:p w14:paraId="04F2F8CF" w14:textId="77777777" w:rsidR="008423E4" w:rsidRPr="00A8133F" w:rsidRDefault="00506548" w:rsidP="005F58E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83FD6E4" w14:textId="77777777" w:rsidR="008423E4" w:rsidRDefault="008423E4" w:rsidP="005F58E5"/>
          <w:p w14:paraId="4423E3C9" w14:textId="4526065C" w:rsidR="009C36CD" w:rsidRDefault="00506548" w:rsidP="005F58E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</w:t>
            </w:r>
            <w:r w:rsidR="00287FE1">
              <w:t>115</w:t>
            </w:r>
            <w:r>
              <w:t xml:space="preserve"> amends the Government Code to make a </w:t>
            </w:r>
            <w:r w:rsidRPr="00744382">
              <w:t>retired or former district court judge</w:t>
            </w:r>
            <w:r>
              <w:t xml:space="preserve"> eligible to be </w:t>
            </w:r>
            <w:r w:rsidR="00007B59">
              <w:t xml:space="preserve">named </w:t>
            </w:r>
            <w:r>
              <w:t xml:space="preserve">on a presiding judge's </w:t>
            </w:r>
            <w:r w:rsidRPr="00744382">
              <w:t>list of retired and form</w:t>
            </w:r>
            <w:r>
              <w:t>er judges subject to assignment</w:t>
            </w:r>
            <w:r w:rsidR="00287092">
              <w:t xml:space="preserve"> as a visiting judge under the Court Administration Act</w:t>
            </w:r>
            <w:r>
              <w:t xml:space="preserve"> if t</w:t>
            </w:r>
            <w:r w:rsidRPr="00744382">
              <w:t>he retired or for</w:t>
            </w:r>
            <w:r w:rsidRPr="00744382">
              <w:t>mer district court judge certifies under oath to the presiding judge</w:t>
            </w:r>
            <w:r w:rsidR="00C30946">
              <w:t xml:space="preserve"> on a specified form</w:t>
            </w:r>
            <w:r w:rsidR="00D73B1A">
              <w:t xml:space="preserve"> </w:t>
            </w:r>
            <w:r w:rsidRPr="00744382">
              <w:t>that</w:t>
            </w:r>
            <w:r w:rsidR="00C30946">
              <w:t xml:space="preserve"> the following has not occurred</w:t>
            </w:r>
            <w:r w:rsidRPr="00744382">
              <w:t xml:space="preserve"> during t</w:t>
            </w:r>
            <w:r w:rsidR="00D73B1A">
              <w:t>he 1</w:t>
            </w:r>
            <w:r w:rsidR="003B6D37">
              <w:t>5</w:t>
            </w:r>
            <w:r w:rsidR="00D73B1A">
              <w:t xml:space="preserve"> years preceding any such assignment</w:t>
            </w:r>
            <w:r w:rsidRPr="00744382">
              <w:t>:</w:t>
            </w:r>
            <w:r>
              <w:t xml:space="preserve"> </w:t>
            </w:r>
          </w:p>
          <w:p w14:paraId="2FE672B5" w14:textId="47845113" w:rsidR="00744382" w:rsidRDefault="00506548" w:rsidP="005F58E5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judge has not been publicly reprimanded or censured by the State Commission</w:t>
            </w:r>
            <w:r>
              <w:t xml:space="preserve"> on Judicial Conduct</w:t>
            </w:r>
            <w:r w:rsidR="00287092">
              <w:t xml:space="preserve"> (SCJC)</w:t>
            </w:r>
            <w:r>
              <w:t>; and</w:t>
            </w:r>
          </w:p>
          <w:p w14:paraId="36CB57AE" w14:textId="40434919" w:rsidR="00744382" w:rsidRDefault="00506548" w:rsidP="005F58E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judge </w:t>
            </w:r>
            <w:r w:rsidRPr="00744382">
              <w:t xml:space="preserve">did not resign or retire from office after </w:t>
            </w:r>
            <w:r w:rsidR="00F65BAB">
              <w:t xml:space="preserve">the </w:t>
            </w:r>
            <w:r w:rsidR="00287092">
              <w:t xml:space="preserve">SCJC </w:t>
            </w:r>
            <w:r w:rsidRPr="00744382">
              <w:t>notified the judge of the commencement of a full investigation into an allegation or appearance of misconduct or disability of the judge and before the final di</w:t>
            </w:r>
            <w:r w:rsidR="00170CC3">
              <w:t>sposition of that investigation</w:t>
            </w:r>
            <w:r w:rsidR="00287092">
              <w:t>,</w:t>
            </w:r>
            <w:r w:rsidRPr="00744382">
              <w:t xml:space="preserve"> or</w:t>
            </w:r>
            <w:r w:rsidR="00287092">
              <w:t>,</w:t>
            </w:r>
            <w:r w:rsidR="00170CC3" w:rsidRPr="00170CC3">
              <w:t xml:space="preserve"> if the judge did resign from office under </w:t>
            </w:r>
            <w:r w:rsidR="00170CC3">
              <w:t>th</w:t>
            </w:r>
            <w:r w:rsidR="00287092">
              <w:t>o</w:t>
            </w:r>
            <w:r w:rsidR="00170CC3">
              <w:t xml:space="preserve">se circumstances, </w:t>
            </w:r>
            <w:r w:rsidR="00170CC3" w:rsidRPr="00170CC3">
              <w:t>was not publicly reprimanded or censured as a result of the investigation.</w:t>
            </w:r>
          </w:p>
          <w:p w14:paraId="31EF8474" w14:textId="40892C62" w:rsidR="00170CC3" w:rsidRPr="009C36CD" w:rsidRDefault="00506548" w:rsidP="005F58E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makes a</w:t>
            </w:r>
            <w:r w:rsidRPr="00170CC3">
              <w:t xml:space="preserve"> former or retired district court judge ineligible to be named on the list if during the 1</w:t>
            </w:r>
            <w:r w:rsidR="003B6D37">
              <w:t>5</w:t>
            </w:r>
            <w:r w:rsidRPr="00170CC3">
              <w:t xml:space="preserve"> years preceding </w:t>
            </w:r>
            <w:r w:rsidR="00D73B1A">
              <w:t xml:space="preserve">any potential </w:t>
            </w:r>
            <w:r w:rsidRPr="00170CC3">
              <w:t xml:space="preserve">appointment the former or retired judge is identified </w:t>
            </w:r>
            <w:r w:rsidR="00287092">
              <w:t xml:space="preserve">in a public statement </w:t>
            </w:r>
            <w:r w:rsidR="00007B59">
              <w:t xml:space="preserve">issued </w:t>
            </w:r>
            <w:r w:rsidRPr="00170CC3">
              <w:t xml:space="preserve">by </w:t>
            </w:r>
            <w:r w:rsidR="00F65BAB">
              <w:t xml:space="preserve">the </w:t>
            </w:r>
            <w:r w:rsidR="00287092">
              <w:t xml:space="preserve">SCJC </w:t>
            </w:r>
            <w:r w:rsidRPr="00170CC3">
              <w:t>as having resigned or retired from offi</w:t>
            </w:r>
            <w:r w:rsidRPr="00170CC3">
              <w:t>ce in lieu of discipline.</w:t>
            </w:r>
          </w:p>
          <w:p w14:paraId="4CB9329A" w14:textId="77777777" w:rsidR="008423E4" w:rsidRPr="00835628" w:rsidRDefault="008423E4" w:rsidP="005F58E5">
            <w:pPr>
              <w:rPr>
                <w:b/>
              </w:rPr>
            </w:pPr>
          </w:p>
        </w:tc>
      </w:tr>
      <w:tr w:rsidR="00D57C2D" w14:paraId="6621ED29" w14:textId="77777777" w:rsidTr="00345119">
        <w:tc>
          <w:tcPr>
            <w:tcW w:w="9576" w:type="dxa"/>
          </w:tcPr>
          <w:p w14:paraId="128D0220" w14:textId="77777777" w:rsidR="008423E4" w:rsidRPr="00A8133F" w:rsidRDefault="00506548" w:rsidP="005F58E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6973A99" w14:textId="77777777" w:rsidR="008423E4" w:rsidRPr="005F58E5" w:rsidRDefault="008423E4" w:rsidP="005F58E5">
            <w:pPr>
              <w:rPr>
                <w:sz w:val="18"/>
                <w:szCs w:val="18"/>
              </w:rPr>
            </w:pPr>
          </w:p>
          <w:p w14:paraId="219EDA1A" w14:textId="0E65BE58" w:rsidR="008423E4" w:rsidRPr="00233FDB" w:rsidRDefault="00506548" w:rsidP="005F58E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On passage, or, if the bill does not receive the necessary vote, September 1, 202</w:t>
            </w:r>
            <w:r w:rsidR="00287FE1">
              <w:t>3</w:t>
            </w:r>
            <w:r>
              <w:t>.</w:t>
            </w:r>
          </w:p>
        </w:tc>
      </w:tr>
    </w:tbl>
    <w:p w14:paraId="3E94364E" w14:textId="77777777" w:rsidR="008423E4" w:rsidRPr="00BE0E75" w:rsidRDefault="008423E4" w:rsidP="005F58E5">
      <w:pPr>
        <w:jc w:val="both"/>
        <w:rPr>
          <w:rFonts w:ascii="Arial" w:hAnsi="Arial"/>
          <w:sz w:val="16"/>
          <w:szCs w:val="16"/>
        </w:rPr>
      </w:pPr>
    </w:p>
    <w:sectPr w:rsidR="008423E4" w:rsidRPr="00BE0E75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D85FC" w14:textId="77777777" w:rsidR="00000000" w:rsidRDefault="00506548">
      <w:r>
        <w:separator/>
      </w:r>
    </w:p>
  </w:endnote>
  <w:endnote w:type="continuationSeparator" w:id="0">
    <w:p w14:paraId="00A9A1B2" w14:textId="77777777" w:rsidR="00000000" w:rsidRDefault="0050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3805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57C2D" w14:paraId="5B7495FB" w14:textId="77777777" w:rsidTr="009C1E9A">
      <w:trPr>
        <w:cantSplit/>
      </w:trPr>
      <w:tc>
        <w:tcPr>
          <w:tcW w:w="0" w:type="pct"/>
        </w:tcPr>
        <w:p w14:paraId="7F825B0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6EAADA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4159E3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C62773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883984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57C2D" w14:paraId="76C41461" w14:textId="77777777" w:rsidTr="009C1E9A">
      <w:trPr>
        <w:cantSplit/>
      </w:trPr>
      <w:tc>
        <w:tcPr>
          <w:tcW w:w="0" w:type="pct"/>
        </w:tcPr>
        <w:p w14:paraId="22AAAA0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848D0D1" w14:textId="3E50A4D4" w:rsidR="00EC379B" w:rsidRPr="009C1E9A" w:rsidRDefault="0050654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22143-D</w:t>
          </w:r>
        </w:p>
      </w:tc>
      <w:tc>
        <w:tcPr>
          <w:tcW w:w="2453" w:type="pct"/>
        </w:tcPr>
        <w:p w14:paraId="6C7F9D57" w14:textId="11F750EF" w:rsidR="00EC379B" w:rsidRDefault="0050654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F58E5">
            <w:t>23.94.600</w:t>
          </w:r>
          <w:r>
            <w:fldChar w:fldCharType="end"/>
          </w:r>
        </w:p>
      </w:tc>
    </w:tr>
    <w:tr w:rsidR="00D57C2D" w14:paraId="1A18EFA0" w14:textId="77777777" w:rsidTr="009C1E9A">
      <w:trPr>
        <w:cantSplit/>
      </w:trPr>
      <w:tc>
        <w:tcPr>
          <w:tcW w:w="0" w:type="pct"/>
        </w:tcPr>
        <w:p w14:paraId="5B4EBE2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6E1D42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095C5C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CD1077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57C2D" w14:paraId="3225894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9AD7CDB" w14:textId="0F722C55" w:rsidR="00EC379B" w:rsidRDefault="0050654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C37716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F9BAC1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50F647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79E2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1106D" w14:textId="77777777" w:rsidR="00000000" w:rsidRDefault="00506548">
      <w:r>
        <w:separator/>
      </w:r>
    </w:p>
  </w:footnote>
  <w:footnote w:type="continuationSeparator" w:id="0">
    <w:p w14:paraId="2C999EAD" w14:textId="77777777" w:rsidR="00000000" w:rsidRDefault="0050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829A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FEB8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0A40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477ED"/>
    <w:multiLevelType w:val="hybridMultilevel"/>
    <w:tmpl w:val="35F07EEE"/>
    <w:lvl w:ilvl="0" w:tplc="D5CC7B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EA2D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740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72FF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CD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105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E73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605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64D8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27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274"/>
    <w:rsid w:val="00000A70"/>
    <w:rsid w:val="000032B8"/>
    <w:rsid w:val="00003B06"/>
    <w:rsid w:val="000054B9"/>
    <w:rsid w:val="00007461"/>
    <w:rsid w:val="00007B59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182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1F1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0CC3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2E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63CC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254DF"/>
    <w:rsid w:val="002304DF"/>
    <w:rsid w:val="00230A4D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092"/>
    <w:rsid w:val="002874E3"/>
    <w:rsid w:val="00287656"/>
    <w:rsid w:val="00287FE1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3CB4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25DF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204D"/>
    <w:rsid w:val="003747DF"/>
    <w:rsid w:val="00377E3D"/>
    <w:rsid w:val="003847E8"/>
    <w:rsid w:val="0038731D"/>
    <w:rsid w:val="00387B60"/>
    <w:rsid w:val="00390098"/>
    <w:rsid w:val="00392DA1"/>
    <w:rsid w:val="00392F5A"/>
    <w:rsid w:val="00393718"/>
    <w:rsid w:val="003A0296"/>
    <w:rsid w:val="003A10BC"/>
    <w:rsid w:val="003B0DD2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6D37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17D6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6548"/>
    <w:rsid w:val="005073E8"/>
    <w:rsid w:val="00510503"/>
    <w:rsid w:val="00510C27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6AFB"/>
    <w:rsid w:val="005878B7"/>
    <w:rsid w:val="00592C9A"/>
    <w:rsid w:val="00593DF8"/>
    <w:rsid w:val="00595745"/>
    <w:rsid w:val="005A097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8E5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3274"/>
    <w:rsid w:val="00662B77"/>
    <w:rsid w:val="00662D0E"/>
    <w:rsid w:val="00663265"/>
    <w:rsid w:val="0066345F"/>
    <w:rsid w:val="0066485B"/>
    <w:rsid w:val="0067036E"/>
    <w:rsid w:val="00671693"/>
    <w:rsid w:val="006757AA"/>
    <w:rsid w:val="00677572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1A9B"/>
    <w:rsid w:val="006C4709"/>
    <w:rsid w:val="006D3005"/>
    <w:rsid w:val="006D504F"/>
    <w:rsid w:val="006E0CAC"/>
    <w:rsid w:val="006E1CFB"/>
    <w:rsid w:val="006E1F94"/>
    <w:rsid w:val="006E26C1"/>
    <w:rsid w:val="006E27B5"/>
    <w:rsid w:val="006E30A8"/>
    <w:rsid w:val="006E45B0"/>
    <w:rsid w:val="006E5692"/>
    <w:rsid w:val="006E5F00"/>
    <w:rsid w:val="006F365D"/>
    <w:rsid w:val="006F4BB0"/>
    <w:rsid w:val="007031BD"/>
    <w:rsid w:val="00703E80"/>
    <w:rsid w:val="0070432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382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56C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0685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59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43DA"/>
    <w:rsid w:val="00995B0B"/>
    <w:rsid w:val="009A1883"/>
    <w:rsid w:val="009A39F5"/>
    <w:rsid w:val="009A4588"/>
    <w:rsid w:val="009A5EA5"/>
    <w:rsid w:val="009B00C2"/>
    <w:rsid w:val="009B143A"/>
    <w:rsid w:val="009B26AB"/>
    <w:rsid w:val="009B3476"/>
    <w:rsid w:val="009B39BC"/>
    <w:rsid w:val="009B5069"/>
    <w:rsid w:val="009B69AD"/>
    <w:rsid w:val="009B7806"/>
    <w:rsid w:val="009C05C1"/>
    <w:rsid w:val="009C0FF8"/>
    <w:rsid w:val="009C1B37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679FE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0F80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3487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0D5"/>
    <w:rsid w:val="00B1668D"/>
    <w:rsid w:val="00B17981"/>
    <w:rsid w:val="00B233BB"/>
    <w:rsid w:val="00B25612"/>
    <w:rsid w:val="00B26437"/>
    <w:rsid w:val="00B2678E"/>
    <w:rsid w:val="00B30647"/>
    <w:rsid w:val="00B31F0E"/>
    <w:rsid w:val="00B34210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676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0946"/>
    <w:rsid w:val="00C3223B"/>
    <w:rsid w:val="00C333C6"/>
    <w:rsid w:val="00C35CC5"/>
    <w:rsid w:val="00C361C5"/>
    <w:rsid w:val="00C37716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73D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71F"/>
    <w:rsid w:val="00D44ADE"/>
    <w:rsid w:val="00D50D65"/>
    <w:rsid w:val="00D512E0"/>
    <w:rsid w:val="00D519F3"/>
    <w:rsid w:val="00D51D2A"/>
    <w:rsid w:val="00D53B7C"/>
    <w:rsid w:val="00D55F52"/>
    <w:rsid w:val="00D56508"/>
    <w:rsid w:val="00D57C2D"/>
    <w:rsid w:val="00D6131A"/>
    <w:rsid w:val="00D61611"/>
    <w:rsid w:val="00D61784"/>
    <w:rsid w:val="00D6178A"/>
    <w:rsid w:val="00D63B53"/>
    <w:rsid w:val="00D64B88"/>
    <w:rsid w:val="00D64DC5"/>
    <w:rsid w:val="00D66BA6"/>
    <w:rsid w:val="00D67BB0"/>
    <w:rsid w:val="00D700B1"/>
    <w:rsid w:val="00D730FA"/>
    <w:rsid w:val="00D73B1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46819"/>
    <w:rsid w:val="00F50130"/>
    <w:rsid w:val="00F52402"/>
    <w:rsid w:val="00F5605D"/>
    <w:rsid w:val="00F6514B"/>
    <w:rsid w:val="00F6587F"/>
    <w:rsid w:val="00F65BAB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0214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549D"/>
    <w:rsid w:val="00FE19C5"/>
    <w:rsid w:val="00FE4286"/>
    <w:rsid w:val="00FE48C3"/>
    <w:rsid w:val="00FE5909"/>
    <w:rsid w:val="00FE652E"/>
    <w:rsid w:val="00FE71FE"/>
    <w:rsid w:val="00FF07A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7D4EA5-4D6B-4240-9D3B-AF52EE5A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73B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73B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73B1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73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73B1A"/>
    <w:rPr>
      <w:b/>
      <w:bCs/>
    </w:rPr>
  </w:style>
  <w:style w:type="paragraph" w:styleId="Revision">
    <w:name w:val="Revision"/>
    <w:hidden/>
    <w:uiPriority w:val="99"/>
    <w:semiHidden/>
    <w:rsid w:val="00677572"/>
    <w:rPr>
      <w:sz w:val="24"/>
      <w:szCs w:val="24"/>
    </w:rPr>
  </w:style>
  <w:style w:type="character" w:styleId="Hyperlink">
    <w:name w:val="Hyperlink"/>
    <w:basedOn w:val="DefaultParagraphFont"/>
    <w:unhideWhenUsed/>
    <w:rsid w:val="006C1A9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1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2352</Characters>
  <Application>Microsoft Office Word</Application>
  <DocSecurity>4</DocSecurity>
  <Lines>56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HB03115 (Committee Report (Unamended))</vt:lpstr>
    </vt:vector>
  </TitlesOfParts>
  <Company>State of Texas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22143</dc:subject>
  <dc:creator>State of Texas</dc:creator>
  <dc:description>HB 3115 by Morales, Eddie-(H)Judiciary &amp; Civil Jurisprudence</dc:description>
  <cp:lastModifiedBy>Stacey Nicchio</cp:lastModifiedBy>
  <cp:revision>2</cp:revision>
  <cp:lastPrinted>2003-11-26T17:21:00Z</cp:lastPrinted>
  <dcterms:created xsi:type="dcterms:W3CDTF">2023-04-11T21:11:00Z</dcterms:created>
  <dcterms:modified xsi:type="dcterms:W3CDTF">2023-04-11T21:11:00Z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23.94.600</vt:lpwstr>
  </property>
</Properties>
</file>