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2102A2" w14:paraId="28E1B31B" w14:textId="77777777" w:rsidTr="00345119">
        <w:tc>
          <w:tcPr>
            <w:tcW w:w="9576" w:type="dxa"/>
            <w:noWrap/>
          </w:tcPr>
          <w:p w14:paraId="6C20296A" w14:textId="77777777" w:rsidR="008423E4" w:rsidRPr="0022177D" w:rsidRDefault="00717F2E" w:rsidP="00B04D77">
            <w:pPr>
              <w:pStyle w:val="Heading1"/>
            </w:pPr>
            <w:r w:rsidRPr="00631897">
              <w:t>BILL ANALYSIS</w:t>
            </w:r>
          </w:p>
        </w:tc>
      </w:tr>
    </w:tbl>
    <w:p w14:paraId="75A0E65A" w14:textId="77777777" w:rsidR="008423E4" w:rsidRPr="0022177D" w:rsidRDefault="008423E4" w:rsidP="00B04D77">
      <w:pPr>
        <w:jc w:val="center"/>
      </w:pPr>
    </w:p>
    <w:p w14:paraId="38B1F8D7" w14:textId="77777777" w:rsidR="008423E4" w:rsidRPr="00B31F0E" w:rsidRDefault="008423E4" w:rsidP="00B04D77"/>
    <w:p w14:paraId="1EA42A8C" w14:textId="77777777" w:rsidR="008423E4" w:rsidRPr="00742794" w:rsidRDefault="008423E4" w:rsidP="00B04D77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2102A2" w14:paraId="0F727503" w14:textId="77777777" w:rsidTr="00345119">
        <w:tc>
          <w:tcPr>
            <w:tcW w:w="9576" w:type="dxa"/>
          </w:tcPr>
          <w:p w14:paraId="1B00F98E" w14:textId="298F4A87" w:rsidR="008423E4" w:rsidRPr="00861995" w:rsidRDefault="00717F2E" w:rsidP="00B04D77">
            <w:pPr>
              <w:jc w:val="right"/>
            </w:pPr>
            <w:r>
              <w:t>C.S.H.B. 3119</w:t>
            </w:r>
          </w:p>
        </w:tc>
      </w:tr>
      <w:tr w:rsidR="002102A2" w14:paraId="4D81A638" w14:textId="77777777" w:rsidTr="00345119">
        <w:tc>
          <w:tcPr>
            <w:tcW w:w="9576" w:type="dxa"/>
          </w:tcPr>
          <w:p w14:paraId="34FF9EF3" w14:textId="6FF76DB9" w:rsidR="008423E4" w:rsidRPr="00861995" w:rsidRDefault="00717F2E" w:rsidP="00B04D77">
            <w:pPr>
              <w:jc w:val="right"/>
            </w:pPr>
            <w:r>
              <w:t xml:space="preserve">By: </w:t>
            </w:r>
            <w:r w:rsidR="009C31B2">
              <w:t>Smithee</w:t>
            </w:r>
          </w:p>
        </w:tc>
      </w:tr>
      <w:tr w:rsidR="002102A2" w14:paraId="074FC21E" w14:textId="77777777" w:rsidTr="00345119">
        <w:tc>
          <w:tcPr>
            <w:tcW w:w="9576" w:type="dxa"/>
          </w:tcPr>
          <w:p w14:paraId="01D2994D" w14:textId="5A5A1840" w:rsidR="008423E4" w:rsidRPr="00861995" w:rsidRDefault="00717F2E" w:rsidP="00B04D77">
            <w:pPr>
              <w:jc w:val="right"/>
            </w:pPr>
            <w:r>
              <w:t>Human Services</w:t>
            </w:r>
          </w:p>
        </w:tc>
      </w:tr>
      <w:tr w:rsidR="002102A2" w14:paraId="5CB69AFF" w14:textId="77777777" w:rsidTr="00345119">
        <w:tc>
          <w:tcPr>
            <w:tcW w:w="9576" w:type="dxa"/>
          </w:tcPr>
          <w:p w14:paraId="19D6B3A6" w14:textId="21D48E2E" w:rsidR="008423E4" w:rsidRDefault="00717F2E" w:rsidP="00B04D77">
            <w:pPr>
              <w:jc w:val="right"/>
            </w:pPr>
            <w:r>
              <w:t>Committee Report (Substituted)</w:t>
            </w:r>
          </w:p>
        </w:tc>
      </w:tr>
    </w:tbl>
    <w:p w14:paraId="6464FFF7" w14:textId="77777777" w:rsidR="008423E4" w:rsidRDefault="008423E4" w:rsidP="00B04D77">
      <w:pPr>
        <w:tabs>
          <w:tab w:val="right" w:pos="9360"/>
        </w:tabs>
      </w:pPr>
    </w:p>
    <w:p w14:paraId="11BC884A" w14:textId="77777777" w:rsidR="008423E4" w:rsidRDefault="008423E4" w:rsidP="00B04D77"/>
    <w:p w14:paraId="08C54565" w14:textId="77777777" w:rsidR="008423E4" w:rsidRDefault="008423E4" w:rsidP="00B04D77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2102A2" w14:paraId="38E5866A" w14:textId="77777777" w:rsidTr="00BA2A78">
        <w:tc>
          <w:tcPr>
            <w:tcW w:w="9360" w:type="dxa"/>
          </w:tcPr>
          <w:p w14:paraId="1303E43F" w14:textId="77777777" w:rsidR="008423E4" w:rsidRPr="00A8133F" w:rsidRDefault="00717F2E" w:rsidP="00B04D77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7581357" w14:textId="77777777" w:rsidR="008423E4" w:rsidRDefault="008423E4" w:rsidP="00B04D77"/>
          <w:p w14:paraId="28EAAAE7" w14:textId="7F68EF1E" w:rsidR="008423E4" w:rsidRDefault="00717F2E" w:rsidP="00B04D77">
            <w:pPr>
              <w:jc w:val="both"/>
            </w:pPr>
            <w:r w:rsidRPr="00E61D25">
              <w:t>Federal law was</w:t>
            </w:r>
            <w:r w:rsidR="00761B03">
              <w:t xml:space="preserve"> recently</w:t>
            </w:r>
            <w:r w:rsidRPr="00E61D25">
              <w:t xml:space="preserve"> updated regarding third-party liability as it relates to Medicaid. Specifically, </w:t>
            </w:r>
            <w:r w:rsidR="004F7B88">
              <w:t xml:space="preserve">the </w:t>
            </w:r>
            <w:r w:rsidR="001222AA">
              <w:t>law required that</w:t>
            </w:r>
            <w:r w:rsidR="004F7B88">
              <w:t xml:space="preserve"> </w:t>
            </w:r>
            <w:r w:rsidRPr="00E61D25">
              <w:t xml:space="preserve">third parties other than Medicare accept the </w:t>
            </w:r>
            <w:r w:rsidR="004F7B88">
              <w:t>s</w:t>
            </w:r>
            <w:r w:rsidRPr="00E61D25">
              <w:t xml:space="preserve">tate's "authorization" that </w:t>
            </w:r>
            <w:r w:rsidR="004F7B88">
              <w:t>a health care</w:t>
            </w:r>
            <w:r w:rsidRPr="00E61D25">
              <w:t xml:space="preserve"> item or service is covered under the state </w:t>
            </w:r>
            <w:r w:rsidR="004F7B88">
              <w:t xml:space="preserve">Medicaid </w:t>
            </w:r>
            <w:r w:rsidRPr="00E61D25">
              <w:t>plan as if s</w:t>
            </w:r>
            <w:r w:rsidRPr="00E61D25">
              <w:t>uch authorization were the prior authorization made by the third party for such item or service</w:t>
            </w:r>
            <w:r w:rsidR="004F7B88">
              <w:t>.</w:t>
            </w:r>
            <w:r w:rsidRPr="00E61D25">
              <w:t xml:space="preserve"> </w:t>
            </w:r>
            <w:r w:rsidR="004F7B88">
              <w:t xml:space="preserve">This law also </w:t>
            </w:r>
            <w:r w:rsidRPr="00E61D25">
              <w:t>add</w:t>
            </w:r>
            <w:r w:rsidR="004F7B88">
              <w:t>ed</w:t>
            </w:r>
            <w:r w:rsidRPr="00E61D25">
              <w:t xml:space="preserve"> a 60-day timeliness requirement in which the third party must respond to a </w:t>
            </w:r>
            <w:r w:rsidR="004F7B88">
              <w:t>s</w:t>
            </w:r>
            <w:r w:rsidRPr="00E61D25">
              <w:t>tate's inquiry about a claim</w:t>
            </w:r>
            <w:r w:rsidR="001222AA">
              <w:t xml:space="preserve"> and</w:t>
            </w:r>
            <w:r w:rsidR="004F7B88">
              <w:t xml:space="preserve"> required </w:t>
            </w:r>
            <w:r w:rsidRPr="00E61D25">
              <w:t>that a third party mu</w:t>
            </w:r>
            <w:r w:rsidRPr="00E61D25">
              <w:t xml:space="preserve">st agree not to deny a </w:t>
            </w:r>
            <w:r w:rsidR="004F7B88">
              <w:t>s</w:t>
            </w:r>
            <w:r w:rsidRPr="00E61D25">
              <w:t>tate's claim for failure to obtain prior authorization for the item or service.</w:t>
            </w:r>
            <w:r w:rsidR="004F7B88">
              <w:t xml:space="preserve"> </w:t>
            </w:r>
            <w:r w:rsidRPr="00E61D25">
              <w:t xml:space="preserve">C.S.H.B. 3119 </w:t>
            </w:r>
            <w:r w:rsidR="004F7B88">
              <w:t xml:space="preserve">seeks to </w:t>
            </w:r>
            <w:r w:rsidRPr="00E61D25">
              <w:t>update state statutes regarding third-party liability to reflect these changes in federal law.</w:t>
            </w:r>
          </w:p>
          <w:p w14:paraId="4DAB1F88" w14:textId="77777777" w:rsidR="008423E4" w:rsidRPr="00E26B13" w:rsidRDefault="008423E4" w:rsidP="00B04D77">
            <w:pPr>
              <w:rPr>
                <w:b/>
              </w:rPr>
            </w:pPr>
          </w:p>
        </w:tc>
      </w:tr>
      <w:tr w:rsidR="002102A2" w14:paraId="33E49622" w14:textId="77777777" w:rsidTr="00BA2A78">
        <w:tc>
          <w:tcPr>
            <w:tcW w:w="9360" w:type="dxa"/>
          </w:tcPr>
          <w:p w14:paraId="58625A76" w14:textId="77777777" w:rsidR="0017725B" w:rsidRDefault="00717F2E" w:rsidP="00B04D7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035456C" w14:textId="77777777" w:rsidR="0017725B" w:rsidRDefault="0017725B" w:rsidP="00B04D77">
            <w:pPr>
              <w:rPr>
                <w:b/>
                <w:u w:val="single"/>
              </w:rPr>
            </w:pPr>
          </w:p>
          <w:p w14:paraId="465CA71C" w14:textId="6B83A819" w:rsidR="00A91AC1" w:rsidRPr="00A91AC1" w:rsidRDefault="00717F2E" w:rsidP="00B04D77">
            <w:pPr>
              <w:jc w:val="both"/>
            </w:pPr>
            <w:r>
              <w:t>It is t</w:t>
            </w:r>
            <w:r>
              <w:t>he committee's opinion that this bill does not expressly create a criminal offense, increase the punishment for an existing criminal offense or category of offenses, or change the eligibility of a person for community supervision, parole, or mandatory supe</w:t>
            </w:r>
            <w:r>
              <w:t>rvision.</w:t>
            </w:r>
          </w:p>
          <w:p w14:paraId="0B576C5B" w14:textId="77777777" w:rsidR="0017725B" w:rsidRPr="0017725B" w:rsidRDefault="0017725B" w:rsidP="00B04D77">
            <w:pPr>
              <w:rPr>
                <w:b/>
                <w:u w:val="single"/>
              </w:rPr>
            </w:pPr>
          </w:p>
        </w:tc>
      </w:tr>
      <w:tr w:rsidR="002102A2" w14:paraId="38DEDC59" w14:textId="77777777" w:rsidTr="00BA2A78">
        <w:tc>
          <w:tcPr>
            <w:tcW w:w="9360" w:type="dxa"/>
          </w:tcPr>
          <w:p w14:paraId="63605D3B" w14:textId="77777777" w:rsidR="008423E4" w:rsidRPr="00A8133F" w:rsidRDefault="00717F2E" w:rsidP="00B04D77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2E59A32" w14:textId="77777777" w:rsidR="008423E4" w:rsidRDefault="008423E4" w:rsidP="00B04D77"/>
          <w:p w14:paraId="1673AD24" w14:textId="6EC60DE0" w:rsidR="00A91AC1" w:rsidRDefault="00717F2E" w:rsidP="00B04D7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20AD7143" w14:textId="77777777" w:rsidR="008423E4" w:rsidRPr="00E21FDC" w:rsidRDefault="008423E4" w:rsidP="00B04D77">
            <w:pPr>
              <w:rPr>
                <w:b/>
              </w:rPr>
            </w:pPr>
          </w:p>
        </w:tc>
      </w:tr>
      <w:tr w:rsidR="002102A2" w14:paraId="39165CAD" w14:textId="77777777" w:rsidTr="00BA2A78">
        <w:tc>
          <w:tcPr>
            <w:tcW w:w="9360" w:type="dxa"/>
          </w:tcPr>
          <w:p w14:paraId="58B82756" w14:textId="77777777" w:rsidR="008423E4" w:rsidRPr="00A8133F" w:rsidRDefault="00717F2E" w:rsidP="00B04D77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BC9E263" w14:textId="77777777" w:rsidR="008423E4" w:rsidRDefault="008423E4" w:rsidP="00B04D77"/>
          <w:p w14:paraId="2254D3D3" w14:textId="3C3DC779" w:rsidR="0038639E" w:rsidRDefault="00717F2E" w:rsidP="00B04D7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036B8A">
              <w:t xml:space="preserve">H.B. 3119 repeals </w:t>
            </w:r>
            <w:r w:rsidR="00D64CA8">
              <w:t xml:space="preserve">Human Resources Code </w:t>
            </w:r>
            <w:r w:rsidR="00036B8A">
              <w:t xml:space="preserve">provisions relating to the requirement for health insurers to maintain and provide to </w:t>
            </w:r>
            <w:r w:rsidR="00B129A7">
              <w:t>the Health and Human Services Commission (</w:t>
            </w:r>
            <w:r w:rsidR="00036B8A">
              <w:t>HHSC</w:t>
            </w:r>
            <w:r w:rsidR="00B129A7">
              <w:t>)</w:t>
            </w:r>
            <w:r w:rsidR="00036B8A">
              <w:t xml:space="preserve"> certain information pertaining to each individual covered by the insurer for the purpose of determining</w:t>
            </w:r>
            <w:r w:rsidR="00036B8A" w:rsidRPr="004327E0">
              <w:t xml:space="preserve"> whether health benefits have been or should have been claimed and paid under a health insurance policy or plan for medical care or services received by an individual for whom Medicaid coverage would otherwise be availabl</w:t>
            </w:r>
            <w:r w:rsidR="00036B8A">
              <w:t>e and the requirement for the state's Medicaid third-party recovery division to identify Medicaid recipients who have third-party health coverage or insurance.</w:t>
            </w:r>
          </w:p>
          <w:p w14:paraId="3C2EBF68" w14:textId="77777777" w:rsidR="00A91AC1" w:rsidRDefault="00A91AC1" w:rsidP="00B04D7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6B0CB7E9" w14:textId="3135A937" w:rsidR="005B1259" w:rsidRDefault="00717F2E" w:rsidP="00B04D7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</w:t>
            </w:r>
            <w:r w:rsidR="0038639E">
              <w:t xml:space="preserve">3119 </w:t>
            </w:r>
            <w:r w:rsidR="001E37C3">
              <w:t>amends the Government Code</w:t>
            </w:r>
            <w:r w:rsidR="0038639E">
              <w:t xml:space="preserve"> and the Human Resources Code </w:t>
            </w:r>
            <w:r w:rsidR="001E37C3">
              <w:t>t</w:t>
            </w:r>
            <w:r w:rsidR="0041775B">
              <w:t>o</w:t>
            </w:r>
            <w:r w:rsidR="00416ED0">
              <w:t xml:space="preserve"> </w:t>
            </w:r>
            <w:r w:rsidR="00FC51A5">
              <w:t xml:space="preserve">give HHSC the option to delegate to a designee the authority to request a third-party health insurer to provide the information necessary to determine </w:t>
            </w:r>
            <w:r w:rsidR="00FC51A5" w:rsidRPr="007B667A">
              <w:t>the period during which an individual</w:t>
            </w:r>
            <w:r w:rsidR="00FC51A5">
              <w:t xml:space="preserve"> </w:t>
            </w:r>
            <w:r w:rsidR="00FC51A5" w:rsidRPr="007B667A">
              <w:t xml:space="preserve">entitled to </w:t>
            </w:r>
            <w:r w:rsidR="00FC51A5">
              <w:t>Medicaid</w:t>
            </w:r>
            <w:r w:rsidR="00FC51A5" w:rsidRPr="007B667A">
              <w:t>, the individual's spouse, or the individual's dependents may be, or may have been, covered by coverage issued by the health insurer</w:t>
            </w:r>
            <w:r w:rsidR="00FC51A5">
              <w:t xml:space="preserve"> and certain related coverage information and to require an insurer to provide information in response to the designee's request</w:t>
            </w:r>
            <w:r w:rsidR="00416ED0">
              <w:t xml:space="preserve">. The bill </w:t>
            </w:r>
            <w:r>
              <w:t>authorize</w:t>
            </w:r>
            <w:r w:rsidR="00416ED0">
              <w:t>s</w:t>
            </w:r>
            <w:r>
              <w:t xml:space="preserve"> HHSC</w:t>
            </w:r>
            <w:r w:rsidR="00DF4B59">
              <w:t>, if it is cost-effective,</w:t>
            </w:r>
            <w:r>
              <w:t xml:space="preserve"> </w:t>
            </w:r>
            <w:r w:rsidRPr="00416ED0">
              <w:t>to expand the scope of persons</w:t>
            </w:r>
            <w:r>
              <w:t xml:space="preserve"> about whom inf</w:t>
            </w:r>
            <w:r>
              <w:t xml:space="preserve">ormation is collected </w:t>
            </w:r>
            <w:r w:rsidRPr="005B1259">
              <w:t>to include recipients of services provided through other benefits programs administered by</w:t>
            </w:r>
            <w:r>
              <w:t xml:space="preserve"> HHSC or a health and human services agency </w:t>
            </w:r>
            <w:r w:rsidR="00416ED0">
              <w:t xml:space="preserve">and </w:t>
            </w:r>
            <w:r w:rsidR="007E5722">
              <w:t>authorize</w:t>
            </w:r>
            <w:r w:rsidR="00416ED0">
              <w:t>s</w:t>
            </w:r>
            <w:r w:rsidR="007E5722">
              <w:t xml:space="preserve"> HHSC to </w:t>
            </w:r>
            <w:r>
              <w:t xml:space="preserve">impose an administrative penalty </w:t>
            </w:r>
            <w:r w:rsidR="007E5722">
              <w:t xml:space="preserve">against </w:t>
            </w:r>
            <w:r>
              <w:t xml:space="preserve">a person who does not comply </w:t>
            </w:r>
            <w:r>
              <w:t>with a</w:t>
            </w:r>
            <w:r w:rsidR="00761B03">
              <w:t>n information</w:t>
            </w:r>
            <w:r>
              <w:t xml:space="preserve"> request in the same manner as HHSC is authorized to take such actions with respect to </w:t>
            </w:r>
            <w:r w:rsidR="007B667A">
              <w:t>information collected or requested under provisions repealed by the bill</w:t>
            </w:r>
            <w:r w:rsidR="00416ED0">
              <w:t>.</w:t>
            </w:r>
          </w:p>
          <w:p w14:paraId="4A0058DB" w14:textId="77777777" w:rsidR="005B1259" w:rsidRDefault="005B1259" w:rsidP="00B04D7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C2B6156" w14:textId="00920F3F" w:rsidR="009F2D61" w:rsidRDefault="00717F2E" w:rsidP="00B04D7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</w:t>
            </w:r>
            <w:r w:rsidR="00494DE6">
              <w:t>3</w:t>
            </w:r>
            <w:r w:rsidR="003F7119">
              <w:t>1</w:t>
            </w:r>
            <w:r w:rsidR="00494DE6">
              <w:t xml:space="preserve">19 </w:t>
            </w:r>
            <w:r w:rsidR="0041775B">
              <w:t>require</w:t>
            </w:r>
            <w:r w:rsidR="00494DE6">
              <w:t>s</w:t>
            </w:r>
            <w:r w:rsidR="0041775B">
              <w:t xml:space="preserve"> a</w:t>
            </w:r>
            <w:r w:rsidR="0041775B" w:rsidRPr="0041775B">
              <w:t xml:space="preserve"> third-party health insurer that requires prior authorization for an item or service provided to an individual entitled to </w:t>
            </w:r>
            <w:r w:rsidR="00A865FE">
              <w:t>Medicaid</w:t>
            </w:r>
            <w:r w:rsidR="0041775B" w:rsidRPr="0041775B">
              <w:t xml:space="preserve"> </w:t>
            </w:r>
            <w:r w:rsidR="004E141A">
              <w:t>to</w:t>
            </w:r>
            <w:r w:rsidR="0041775B" w:rsidRPr="0041775B">
              <w:t xml:space="preserve"> accept</w:t>
            </w:r>
            <w:r>
              <w:t xml:space="preserve"> </w:t>
            </w:r>
            <w:r w:rsidR="0041775B" w:rsidRPr="0041775B">
              <w:t xml:space="preserve">authorization </w:t>
            </w:r>
            <w:r>
              <w:t>provided</w:t>
            </w:r>
            <w:r w:rsidRPr="0041775B">
              <w:t xml:space="preserve"> </w:t>
            </w:r>
            <w:r w:rsidR="0041775B" w:rsidRPr="0041775B">
              <w:t xml:space="preserve">by </w:t>
            </w:r>
            <w:r w:rsidR="004E141A">
              <w:t>HHSC</w:t>
            </w:r>
            <w:r w:rsidR="0041775B" w:rsidRPr="0041775B">
              <w:t xml:space="preserve"> or </w:t>
            </w:r>
            <w:r w:rsidR="004E141A" w:rsidRPr="004E141A">
              <w:t>HHSC</w:t>
            </w:r>
            <w:r w:rsidR="00494DE6">
              <w:t>'s</w:t>
            </w:r>
            <w:r w:rsidR="004E141A" w:rsidRPr="004E141A">
              <w:t xml:space="preserve"> </w:t>
            </w:r>
            <w:r w:rsidR="0041775B" w:rsidRPr="0041775B">
              <w:t xml:space="preserve">designee </w:t>
            </w:r>
            <w:r w:rsidRPr="009F2D61">
              <w:t xml:space="preserve">that the item or service is covered under </w:t>
            </w:r>
            <w:r w:rsidR="00173B74">
              <w:t>Medicaid</w:t>
            </w:r>
            <w:r w:rsidRPr="009F2D61">
              <w:t xml:space="preserve"> as if that authorization is a prior authorization made by the th</w:t>
            </w:r>
            <w:r w:rsidRPr="009F2D61">
              <w:t>ird-party health insurer for the item or service.</w:t>
            </w:r>
            <w:r>
              <w:t xml:space="preserve"> </w:t>
            </w:r>
            <w:r w:rsidR="00147C69">
              <w:t xml:space="preserve">The bill </w:t>
            </w:r>
            <w:r w:rsidR="00DA3BFA">
              <w:t>exempts from</w:t>
            </w:r>
            <w:r w:rsidR="00147C69">
              <w:t xml:space="preserve"> this requirement </w:t>
            </w:r>
            <w:r w:rsidR="00147C69" w:rsidRPr="00147C69">
              <w:t>a third-party health insurer with respect to providing</w:t>
            </w:r>
            <w:r w:rsidR="00173B74">
              <w:t xml:space="preserve"> any of</w:t>
            </w:r>
            <w:r w:rsidR="00147C69">
              <w:t xml:space="preserve"> </w:t>
            </w:r>
            <w:r w:rsidR="00173B74">
              <w:t xml:space="preserve">the following </w:t>
            </w:r>
            <w:r w:rsidR="00F34BC4">
              <w:t xml:space="preserve">under the </w:t>
            </w:r>
            <w:r w:rsidR="00173B74">
              <w:t xml:space="preserve">federal </w:t>
            </w:r>
            <w:r w:rsidR="00F34BC4">
              <w:t>Social Security Act</w:t>
            </w:r>
            <w:r w:rsidR="00147C69">
              <w:t>:</w:t>
            </w:r>
          </w:p>
          <w:p w14:paraId="429E6109" w14:textId="452D0B55" w:rsidR="00147C69" w:rsidRDefault="00717F2E" w:rsidP="00B04D77">
            <w:pPr>
              <w:pStyle w:val="Header"/>
              <w:numPr>
                <w:ilvl w:val="0"/>
                <w:numId w:val="3"/>
              </w:numPr>
              <w:jc w:val="both"/>
            </w:pPr>
            <w:r>
              <w:t>hospital insurance benefits or supplementary insuran</w:t>
            </w:r>
            <w:r>
              <w:t>ce benefits</w:t>
            </w:r>
            <w:r w:rsidR="00F34BC4">
              <w:t>;</w:t>
            </w:r>
          </w:p>
          <w:p w14:paraId="50FD64B8" w14:textId="1CE9E101" w:rsidR="00147C69" w:rsidRDefault="00717F2E" w:rsidP="00B04D77">
            <w:pPr>
              <w:pStyle w:val="Header"/>
              <w:numPr>
                <w:ilvl w:val="0"/>
                <w:numId w:val="3"/>
              </w:numPr>
              <w:jc w:val="both"/>
            </w:pPr>
            <w:r>
              <w:t>a health care prepayment plan</w:t>
            </w:r>
            <w:r w:rsidR="00F34BC4">
              <w:t>;</w:t>
            </w:r>
          </w:p>
          <w:p w14:paraId="240DC781" w14:textId="0D5994C0" w:rsidR="00147C69" w:rsidRDefault="00717F2E" w:rsidP="00B04D77">
            <w:pPr>
              <w:pStyle w:val="Header"/>
              <w:numPr>
                <w:ilvl w:val="0"/>
                <w:numId w:val="3"/>
              </w:numPr>
              <w:jc w:val="both"/>
            </w:pPr>
            <w:r>
              <w:t>a Medicare Advantage plan</w:t>
            </w:r>
            <w:r w:rsidR="00F34BC4">
              <w:t>;</w:t>
            </w:r>
          </w:p>
          <w:p w14:paraId="3FAB5F7A" w14:textId="7BF7E6BD" w:rsidR="00147C69" w:rsidRDefault="00717F2E" w:rsidP="00B04D77">
            <w:pPr>
              <w:pStyle w:val="Header"/>
              <w:numPr>
                <w:ilvl w:val="0"/>
                <w:numId w:val="3"/>
              </w:numPr>
              <w:jc w:val="both"/>
            </w:pPr>
            <w:r>
              <w:t>a prescription drug plan as a prescription drug plan sponsor</w:t>
            </w:r>
            <w:r w:rsidR="00F34BC4">
              <w:t xml:space="preserve">; </w:t>
            </w:r>
            <w:r>
              <w:t>or</w:t>
            </w:r>
          </w:p>
          <w:p w14:paraId="0F576C2A" w14:textId="07190D34" w:rsidR="00147C69" w:rsidRDefault="00717F2E" w:rsidP="00B04D77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>a reasonable cost reimbursement plan</w:t>
            </w:r>
            <w:r w:rsidR="00F34BC4">
              <w:t>.</w:t>
            </w:r>
          </w:p>
          <w:p w14:paraId="35FEED83" w14:textId="12E1A56C" w:rsidR="009F2D61" w:rsidRDefault="009F2D61" w:rsidP="00B04D7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FCACE85" w14:textId="34FF33CB" w:rsidR="00DA3BFA" w:rsidRDefault="00717F2E" w:rsidP="00B04D7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 3</w:t>
            </w:r>
            <w:r w:rsidR="003F7119">
              <w:t>1</w:t>
            </w:r>
            <w:r>
              <w:t xml:space="preserve">19 prohibits a responsible </w:t>
            </w:r>
            <w:r w:rsidRPr="009B1CCF">
              <w:t xml:space="preserve">third-party </w:t>
            </w:r>
            <w:r>
              <w:t xml:space="preserve">health </w:t>
            </w:r>
            <w:r w:rsidRPr="009B1CCF">
              <w:t>insurer</w:t>
            </w:r>
            <w:r>
              <w:t>,</w:t>
            </w:r>
            <w:r w:rsidRPr="009B1CCF">
              <w:t xml:space="preserve"> other than</w:t>
            </w:r>
            <w:r>
              <w:t xml:space="preserve"> one covered by that exe</w:t>
            </w:r>
            <w:r w:rsidR="0006639D">
              <w:t>m</w:t>
            </w:r>
            <w:r>
              <w:t xml:space="preserve">ption, from denying a claim submitted by HHSC or HHSC's designee </w:t>
            </w:r>
            <w:r w:rsidRPr="009B1CCF">
              <w:t xml:space="preserve">for which payment was made under </w:t>
            </w:r>
            <w:r>
              <w:t>Medicaid</w:t>
            </w:r>
            <w:r w:rsidRPr="009B1CCF">
              <w:t xml:space="preserve"> solely on the basis of</w:t>
            </w:r>
            <w:r>
              <w:t xml:space="preserve"> </w:t>
            </w:r>
            <w:r w:rsidRPr="009B1CCF">
              <w:t>a failure to obtain prior authorization for the item or service for which the claim is bei</w:t>
            </w:r>
            <w:r w:rsidRPr="009B1CCF">
              <w:t>ng submitted</w:t>
            </w:r>
            <w:r>
              <w:t xml:space="preserve"> if the following conditions are satisfied: </w:t>
            </w:r>
          </w:p>
          <w:p w14:paraId="726184D4" w14:textId="77777777" w:rsidR="00DA3BFA" w:rsidRDefault="00717F2E" w:rsidP="00B04D77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the claim is submitted by HHSC or HHSC's designee not later than the third anniversary of the date the item or service was provided; and</w:t>
            </w:r>
          </w:p>
          <w:p w14:paraId="7593EE4F" w14:textId="2231A1EB" w:rsidR="00DA3BFA" w:rsidRDefault="00717F2E" w:rsidP="00B04D77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any action by </w:t>
            </w:r>
            <w:r w:rsidRPr="009B1CCF">
              <w:t xml:space="preserve">HHSC </w:t>
            </w:r>
            <w:r>
              <w:t xml:space="preserve">or </w:t>
            </w:r>
            <w:r w:rsidRPr="009B1CCF">
              <w:t>HHSC</w:t>
            </w:r>
            <w:r>
              <w:t>'s</w:t>
            </w:r>
            <w:r w:rsidRPr="009B1CCF">
              <w:t xml:space="preserve"> </w:t>
            </w:r>
            <w:r>
              <w:t>designee to enforce the state's r</w:t>
            </w:r>
            <w:r>
              <w:t xml:space="preserve">ights with respect to the claim is commenced not later than the sixth anniversary of the date </w:t>
            </w:r>
            <w:r w:rsidRPr="009B1CCF">
              <w:t xml:space="preserve">HHSC </w:t>
            </w:r>
            <w:r>
              <w:t xml:space="preserve">or </w:t>
            </w:r>
            <w:r w:rsidRPr="009B1CCF">
              <w:t>HHSC</w:t>
            </w:r>
            <w:r>
              <w:t>'s</w:t>
            </w:r>
            <w:r w:rsidRPr="009B1CCF">
              <w:t xml:space="preserve"> </w:t>
            </w:r>
            <w:r>
              <w:t>designee submits the claim.</w:t>
            </w:r>
          </w:p>
          <w:p w14:paraId="5307F13D" w14:textId="77777777" w:rsidR="00DA3BFA" w:rsidRDefault="00DA3BFA" w:rsidP="00B04D7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08D826F" w14:textId="3D72D02F" w:rsidR="00F34BC4" w:rsidRDefault="00717F2E" w:rsidP="00B04D7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 3</w:t>
            </w:r>
            <w:r w:rsidR="003F7119">
              <w:t>1</w:t>
            </w:r>
            <w:r>
              <w:t>19</w:t>
            </w:r>
            <w:r w:rsidR="004E141A">
              <w:t xml:space="preserve"> </w:t>
            </w:r>
            <w:r w:rsidR="004A3B62">
              <w:t xml:space="preserve">replaces the requirement </w:t>
            </w:r>
            <w:r w:rsidR="00EA2747">
              <w:t xml:space="preserve">for </w:t>
            </w:r>
            <w:r w:rsidR="004E141A">
              <w:t xml:space="preserve">a third party health insurer </w:t>
            </w:r>
            <w:r>
              <w:t xml:space="preserve">to </w:t>
            </w:r>
            <w:r w:rsidR="004E141A">
              <w:t>respond to an</w:t>
            </w:r>
            <w:r w:rsidR="00344F5C">
              <w:t>y</w:t>
            </w:r>
            <w:r w:rsidR="004E141A">
              <w:t xml:space="preserve"> inquiry </w:t>
            </w:r>
            <w:r w:rsidR="00344F5C">
              <w:t xml:space="preserve">by </w:t>
            </w:r>
            <w:r w:rsidR="004E141A">
              <w:t xml:space="preserve">HHSC </w:t>
            </w:r>
            <w:r w:rsidR="00E40021" w:rsidRPr="00E40021">
              <w:t xml:space="preserve">regarding a claim for payment for any health care item or service reimbursed by </w:t>
            </w:r>
            <w:r w:rsidR="00E40021">
              <w:t>HHSC</w:t>
            </w:r>
            <w:r w:rsidR="00E40021" w:rsidRPr="00E40021">
              <w:t xml:space="preserve"> under </w:t>
            </w:r>
            <w:r w:rsidR="00A865FE">
              <w:t>Medicaid</w:t>
            </w:r>
            <w:r w:rsidR="00E40021">
              <w:t xml:space="preserve"> </w:t>
            </w:r>
            <w:r w:rsidR="00E40021" w:rsidRPr="00E40021">
              <w:t>not later than the third anniversary of the date the health care item or service was provided</w:t>
            </w:r>
            <w:r w:rsidR="00E40021">
              <w:t xml:space="preserve"> </w:t>
            </w:r>
            <w:r w:rsidR="006D189D">
              <w:t>with a requirement for a third-party health insurer t</w:t>
            </w:r>
            <w:r w:rsidR="00956EE3">
              <w:t xml:space="preserve">o respond to an inquiry </w:t>
            </w:r>
            <w:r>
              <w:t xml:space="preserve">from HHSC or HHSC's designee regarding a claim </w:t>
            </w:r>
            <w:r w:rsidR="00330EC8">
              <w:t xml:space="preserve">for payment submitted to the insurer </w:t>
            </w:r>
            <w:r w:rsidR="00E40021">
              <w:t>n</w:t>
            </w:r>
            <w:r w:rsidR="00E40021" w:rsidRPr="00E40021">
              <w:t>ot later than the 60th day after receiv</w:t>
            </w:r>
            <w:r w:rsidR="00956EE3">
              <w:t>ing</w:t>
            </w:r>
            <w:r w:rsidR="00E40021">
              <w:t xml:space="preserve"> the inquiry</w:t>
            </w:r>
            <w:r w:rsidR="006E596E">
              <w:t xml:space="preserve">, </w:t>
            </w:r>
            <w:r w:rsidR="006E596E" w:rsidRPr="006E596E">
              <w:t xml:space="preserve">provided the </w:t>
            </w:r>
            <w:r w:rsidR="00A64D5B">
              <w:t>inquiry</w:t>
            </w:r>
            <w:r w:rsidR="00A64D5B" w:rsidRPr="006E596E">
              <w:t xml:space="preserve"> </w:t>
            </w:r>
            <w:r w:rsidR="006E596E" w:rsidRPr="006E596E">
              <w:t>was submitted not later than the third anniversary of the date the item or service was provided</w:t>
            </w:r>
            <w:r w:rsidR="00E40021">
              <w:t>.</w:t>
            </w:r>
            <w:r w:rsidR="009B1CCF">
              <w:t xml:space="preserve"> </w:t>
            </w:r>
          </w:p>
          <w:p w14:paraId="795AB10B" w14:textId="77777777" w:rsidR="00F34BC4" w:rsidRDefault="00F34BC4" w:rsidP="00B04D7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6790ABB8" w14:textId="2C051CCD" w:rsidR="0092075D" w:rsidRDefault="00717F2E" w:rsidP="00B04D77">
            <w:pPr>
              <w:pStyle w:val="Header"/>
              <w:jc w:val="both"/>
            </w:pPr>
            <w:r>
              <w:t xml:space="preserve">C.S.H.B. </w:t>
            </w:r>
            <w:r w:rsidR="00494DE6">
              <w:t>3119</w:t>
            </w:r>
            <w:r w:rsidR="009B1CCF">
              <w:t xml:space="preserve"> </w:t>
            </w:r>
            <w:r w:rsidR="00FD5C5A">
              <w:t xml:space="preserve">establishes that a </w:t>
            </w:r>
            <w:r w:rsidR="00DA3BFA">
              <w:t>"</w:t>
            </w:r>
            <w:r w:rsidR="00FD5C5A">
              <w:t>third-party health insurer</w:t>
            </w:r>
            <w:r>
              <w:t xml:space="preserve">" means a health insurer or other person that is legally responsible by state or federal law or private agreement to pay some or all claims for health care items or services </w:t>
            </w:r>
            <w:r>
              <w:t>provided to an individual</w:t>
            </w:r>
            <w:r w:rsidR="00A50D78">
              <w:t>.</w:t>
            </w:r>
            <w:r>
              <w:t xml:space="preserve"> </w:t>
            </w:r>
            <w:r w:rsidR="00A50D78">
              <w:t>The term</w:t>
            </w:r>
            <w:r>
              <w:t xml:space="preserve"> includes the following:</w:t>
            </w:r>
          </w:p>
          <w:p w14:paraId="06655070" w14:textId="77777777" w:rsidR="0092075D" w:rsidRDefault="00717F2E" w:rsidP="00B04D77">
            <w:pPr>
              <w:pStyle w:val="Header"/>
              <w:numPr>
                <w:ilvl w:val="0"/>
                <w:numId w:val="4"/>
              </w:numPr>
              <w:jc w:val="both"/>
            </w:pPr>
            <w:r>
              <w:t>a person providing a self-insured plan;</w:t>
            </w:r>
          </w:p>
          <w:p w14:paraId="1BFA3AD4" w14:textId="77777777" w:rsidR="00AB439C" w:rsidRDefault="00717F2E" w:rsidP="00B04D77">
            <w:pPr>
              <w:pStyle w:val="Header"/>
              <w:numPr>
                <w:ilvl w:val="0"/>
                <w:numId w:val="4"/>
              </w:numPr>
              <w:jc w:val="both"/>
            </w:pPr>
            <w:r>
              <w:t>a person providing a group health plan;</w:t>
            </w:r>
          </w:p>
          <w:p w14:paraId="69719071" w14:textId="77777777" w:rsidR="00AB439C" w:rsidRDefault="00717F2E" w:rsidP="00B04D77">
            <w:pPr>
              <w:pStyle w:val="Header"/>
              <w:numPr>
                <w:ilvl w:val="0"/>
                <w:numId w:val="4"/>
              </w:numPr>
              <w:jc w:val="both"/>
            </w:pPr>
            <w:r>
              <w:t>a person providing a service benefit plan;</w:t>
            </w:r>
          </w:p>
          <w:p w14:paraId="14EBC8CE" w14:textId="44BF3C2E" w:rsidR="0092075D" w:rsidRDefault="00717F2E" w:rsidP="00B04D77">
            <w:pPr>
              <w:pStyle w:val="Header"/>
              <w:numPr>
                <w:ilvl w:val="0"/>
                <w:numId w:val="4"/>
              </w:numPr>
              <w:jc w:val="both"/>
            </w:pPr>
            <w:r>
              <w:t>a managed care organization; and</w:t>
            </w:r>
          </w:p>
          <w:p w14:paraId="10ED90A1" w14:textId="319B8CE8" w:rsidR="004327E0" w:rsidRDefault="00717F2E" w:rsidP="00B04D77">
            <w:pPr>
              <w:pStyle w:val="Header"/>
              <w:numPr>
                <w:ilvl w:val="0"/>
                <w:numId w:val="2"/>
              </w:numPr>
              <w:jc w:val="both"/>
            </w:pPr>
            <w:r>
              <w:t>a pharmacy benefit manager.</w:t>
            </w:r>
          </w:p>
          <w:p w14:paraId="7DF09E89" w14:textId="77777777" w:rsidR="005E4CDE" w:rsidRDefault="005E4CDE" w:rsidP="00B04D77">
            <w:pPr>
              <w:pStyle w:val="Header"/>
              <w:jc w:val="both"/>
            </w:pPr>
          </w:p>
          <w:p w14:paraId="647F49A1" w14:textId="17976845" w:rsidR="00E85731" w:rsidRDefault="00717F2E" w:rsidP="00B04D77">
            <w:pPr>
              <w:pStyle w:val="Header"/>
              <w:jc w:val="both"/>
            </w:pPr>
            <w:r>
              <w:t xml:space="preserve">C.S.H.B. </w:t>
            </w:r>
            <w:r w:rsidRPr="00E85731">
              <w:t>31</w:t>
            </w:r>
            <w:r w:rsidRPr="00E85731">
              <w:t xml:space="preserve">19 </w:t>
            </w:r>
            <w:r>
              <w:t xml:space="preserve">provides for the delayed implementation of any </w:t>
            </w:r>
            <w:r w:rsidR="00776DBE">
              <w:t xml:space="preserve">bill </w:t>
            </w:r>
            <w:r>
              <w:t>provision for which an applicable state agency determines a federal waiver or authorization is necessary for implementation until the waiver or authorization is requested and granted.</w:t>
            </w:r>
          </w:p>
          <w:p w14:paraId="2687DDA2" w14:textId="2F81A563" w:rsidR="00A50D78" w:rsidRDefault="00A50D78" w:rsidP="00B04D77">
            <w:pPr>
              <w:pStyle w:val="Header"/>
              <w:jc w:val="both"/>
            </w:pPr>
          </w:p>
          <w:p w14:paraId="1BB286F5" w14:textId="46AC2E94" w:rsidR="00A50D78" w:rsidRPr="009C36CD" w:rsidRDefault="00717F2E" w:rsidP="00B04D77">
            <w:pPr>
              <w:pStyle w:val="Header"/>
              <w:jc w:val="both"/>
            </w:pPr>
            <w:r>
              <w:t>C.S.H.B. 3119 re</w:t>
            </w:r>
            <w:r>
              <w:t>peals Section</w:t>
            </w:r>
            <w:r w:rsidR="001671EE">
              <w:t>s</w:t>
            </w:r>
            <w:r>
              <w:t xml:space="preserve"> 32.042 and </w:t>
            </w:r>
            <w:r w:rsidRPr="004327E0">
              <w:t>32.0424(e)</w:t>
            </w:r>
            <w:r>
              <w:t>, Human Resources Code.</w:t>
            </w:r>
          </w:p>
          <w:p w14:paraId="1B76D6AD" w14:textId="77777777" w:rsidR="008423E4" w:rsidRPr="00835628" w:rsidRDefault="008423E4" w:rsidP="00B04D77">
            <w:pPr>
              <w:rPr>
                <w:b/>
              </w:rPr>
            </w:pPr>
          </w:p>
        </w:tc>
      </w:tr>
      <w:tr w:rsidR="002102A2" w14:paraId="1AF67BE8" w14:textId="77777777" w:rsidTr="00BA2A78">
        <w:tc>
          <w:tcPr>
            <w:tcW w:w="9360" w:type="dxa"/>
          </w:tcPr>
          <w:p w14:paraId="29EE2AAC" w14:textId="77777777" w:rsidR="008423E4" w:rsidRPr="00A8133F" w:rsidRDefault="00717F2E" w:rsidP="00B04D77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0E7C973" w14:textId="77777777" w:rsidR="008423E4" w:rsidRDefault="008423E4" w:rsidP="00B04D77"/>
          <w:p w14:paraId="472806C3" w14:textId="38A09FDF" w:rsidR="008423E4" w:rsidRPr="003624F2" w:rsidRDefault="00717F2E" w:rsidP="00B04D7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E85731">
              <w:t>September 1, 2023.</w:t>
            </w:r>
          </w:p>
          <w:p w14:paraId="65983357" w14:textId="77777777" w:rsidR="008423E4" w:rsidRPr="00233FDB" w:rsidRDefault="008423E4" w:rsidP="00B04D77">
            <w:pPr>
              <w:rPr>
                <w:b/>
              </w:rPr>
            </w:pPr>
          </w:p>
        </w:tc>
      </w:tr>
      <w:tr w:rsidR="002102A2" w14:paraId="7425E826" w14:textId="77777777" w:rsidTr="00BA2A78">
        <w:tc>
          <w:tcPr>
            <w:tcW w:w="9360" w:type="dxa"/>
          </w:tcPr>
          <w:p w14:paraId="0496803D" w14:textId="3CF0412D" w:rsidR="009C31B2" w:rsidRDefault="00717F2E" w:rsidP="00B04D77">
            <w:pPr>
              <w:keepNext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680130EA" w14:textId="77777777" w:rsidR="00101B90" w:rsidRDefault="00101B90" w:rsidP="00B04D77">
            <w:pPr>
              <w:jc w:val="both"/>
              <w:rPr>
                <w:b/>
                <w:u w:val="single"/>
              </w:rPr>
            </w:pPr>
          </w:p>
          <w:p w14:paraId="68B14294" w14:textId="7D0A0F2B" w:rsidR="00BA2A78" w:rsidRDefault="00717F2E" w:rsidP="00B04D77">
            <w:pPr>
              <w:jc w:val="both"/>
            </w:pPr>
            <w:r>
              <w:t xml:space="preserve">While C.S.H.B. 3119 may differ from the introduced in minor or nonsubstantive ways, the following </w:t>
            </w:r>
            <w:r>
              <w:t>summarizes the substantial differences between the introduced and committee substitute versions of the bill.</w:t>
            </w:r>
          </w:p>
          <w:p w14:paraId="7D3DD5E5" w14:textId="77777777" w:rsidR="00BA2A78" w:rsidRPr="00BA2A78" w:rsidRDefault="00BA2A78" w:rsidP="00B04D77">
            <w:pPr>
              <w:jc w:val="both"/>
            </w:pPr>
          </w:p>
          <w:p w14:paraId="53C46DE8" w14:textId="5E0ED080" w:rsidR="00627A84" w:rsidRPr="00627A84" w:rsidRDefault="00717F2E" w:rsidP="00B04D77">
            <w:pPr>
              <w:jc w:val="both"/>
              <w:rPr>
                <w:bCs/>
              </w:rPr>
            </w:pPr>
            <w:r>
              <w:rPr>
                <w:bCs/>
              </w:rPr>
              <w:t xml:space="preserve">Whereas the introduced excepted Medicare from the requirement </w:t>
            </w:r>
            <w:r w:rsidR="003909AD">
              <w:rPr>
                <w:bCs/>
              </w:rPr>
              <w:t xml:space="preserve">imposed by the bill </w:t>
            </w:r>
            <w:r>
              <w:rPr>
                <w:bCs/>
              </w:rPr>
              <w:t>for a third</w:t>
            </w:r>
            <w:r w:rsidR="000E762B">
              <w:rPr>
                <w:bCs/>
              </w:rPr>
              <w:noBreakHyphen/>
            </w:r>
            <w:r>
              <w:rPr>
                <w:bCs/>
              </w:rPr>
              <w:t>party health insurer to accept an authorization from</w:t>
            </w:r>
            <w:r>
              <w:rPr>
                <w:bCs/>
              </w:rPr>
              <w:t xml:space="preserve"> HHSC or HHSC's designee for a particular item or service provided to an individual entitled to receive Medicaid as if the authorization is a prior authorization made by the insurer, the substitute instead exempts from that requirement </w:t>
            </w:r>
            <w:r w:rsidRPr="00627A84">
              <w:rPr>
                <w:bCs/>
              </w:rPr>
              <w:t>a third-party health</w:t>
            </w:r>
            <w:r w:rsidRPr="00627A84">
              <w:rPr>
                <w:bCs/>
              </w:rPr>
              <w:t xml:space="preserve"> insurer with respect to providing any of the following under the federal Social Security Act:</w:t>
            </w:r>
          </w:p>
          <w:p w14:paraId="31B94D4D" w14:textId="77777777" w:rsidR="00627A84" w:rsidRPr="00627A84" w:rsidRDefault="00717F2E" w:rsidP="00B04D77">
            <w:pPr>
              <w:pStyle w:val="ListParagraph"/>
              <w:numPr>
                <w:ilvl w:val="0"/>
                <w:numId w:val="6"/>
              </w:numPr>
              <w:contextualSpacing w:val="0"/>
              <w:jc w:val="both"/>
              <w:rPr>
                <w:bCs/>
              </w:rPr>
            </w:pPr>
            <w:r w:rsidRPr="00627A84">
              <w:rPr>
                <w:bCs/>
              </w:rPr>
              <w:t>hospital insurance benefits or supplementary insurance benefits;</w:t>
            </w:r>
          </w:p>
          <w:p w14:paraId="2CD74BA8" w14:textId="77777777" w:rsidR="00627A84" w:rsidRPr="00627A84" w:rsidRDefault="00717F2E" w:rsidP="00B04D77">
            <w:pPr>
              <w:pStyle w:val="ListParagraph"/>
              <w:numPr>
                <w:ilvl w:val="0"/>
                <w:numId w:val="6"/>
              </w:numPr>
              <w:contextualSpacing w:val="0"/>
              <w:jc w:val="both"/>
              <w:rPr>
                <w:bCs/>
              </w:rPr>
            </w:pPr>
            <w:r w:rsidRPr="00627A84">
              <w:rPr>
                <w:bCs/>
              </w:rPr>
              <w:t>a health care prepayment plan;</w:t>
            </w:r>
          </w:p>
          <w:p w14:paraId="5A7E26D9" w14:textId="77777777" w:rsidR="00627A84" w:rsidRPr="00627A84" w:rsidRDefault="00717F2E" w:rsidP="00B04D77">
            <w:pPr>
              <w:pStyle w:val="ListParagraph"/>
              <w:numPr>
                <w:ilvl w:val="0"/>
                <w:numId w:val="6"/>
              </w:numPr>
              <w:contextualSpacing w:val="0"/>
              <w:jc w:val="both"/>
              <w:rPr>
                <w:bCs/>
              </w:rPr>
            </w:pPr>
            <w:r w:rsidRPr="00627A84">
              <w:rPr>
                <w:bCs/>
              </w:rPr>
              <w:t>a Medicare Advantage plan;</w:t>
            </w:r>
          </w:p>
          <w:p w14:paraId="34A5433A" w14:textId="77777777" w:rsidR="00627A84" w:rsidRPr="00627A84" w:rsidRDefault="00717F2E" w:rsidP="00B04D77">
            <w:pPr>
              <w:pStyle w:val="ListParagraph"/>
              <w:numPr>
                <w:ilvl w:val="0"/>
                <w:numId w:val="6"/>
              </w:numPr>
              <w:contextualSpacing w:val="0"/>
              <w:jc w:val="both"/>
              <w:rPr>
                <w:bCs/>
              </w:rPr>
            </w:pPr>
            <w:r w:rsidRPr="00627A84">
              <w:rPr>
                <w:bCs/>
              </w:rPr>
              <w:t>a prescription drug plan as a prescrip</w:t>
            </w:r>
            <w:r w:rsidRPr="00627A84">
              <w:rPr>
                <w:bCs/>
              </w:rPr>
              <w:t>tion drug plan sponsor; or</w:t>
            </w:r>
          </w:p>
          <w:p w14:paraId="7975A102" w14:textId="6E1F174E" w:rsidR="00BA2A78" w:rsidRDefault="00717F2E" w:rsidP="00B04D77">
            <w:pPr>
              <w:pStyle w:val="ListParagraph"/>
              <w:numPr>
                <w:ilvl w:val="0"/>
                <w:numId w:val="6"/>
              </w:numPr>
              <w:contextualSpacing w:val="0"/>
              <w:jc w:val="both"/>
              <w:rPr>
                <w:bCs/>
              </w:rPr>
            </w:pPr>
            <w:r w:rsidRPr="00627A84">
              <w:rPr>
                <w:bCs/>
              </w:rPr>
              <w:t>a reasonable cost reimbursement plan.</w:t>
            </w:r>
          </w:p>
          <w:p w14:paraId="5A8F5DC9" w14:textId="2DF534EF" w:rsidR="00A64D5B" w:rsidRDefault="00717F2E" w:rsidP="00B04D77">
            <w:pPr>
              <w:jc w:val="both"/>
              <w:rPr>
                <w:bCs/>
              </w:rPr>
            </w:pPr>
            <w:r>
              <w:rPr>
                <w:bCs/>
              </w:rPr>
              <w:t>The substitute makes a corresponding update to the exemption provided by the introduced from the prohibition against</w:t>
            </w:r>
            <w:r w:rsidRPr="003909AD">
              <w:rPr>
                <w:bCs/>
              </w:rPr>
              <w:t xml:space="preserve"> denying a claim submitted by HHSC or HHSC's designee for which payment was made under Medicaid solely on the basis of a failure to obtain prior authorization for the item or service for which the claim is being submitted</w:t>
            </w:r>
            <w:r>
              <w:rPr>
                <w:bCs/>
              </w:rPr>
              <w:t>, provided certain conditions are s</w:t>
            </w:r>
            <w:r>
              <w:rPr>
                <w:bCs/>
              </w:rPr>
              <w:t>atisfied.</w:t>
            </w:r>
          </w:p>
          <w:p w14:paraId="7B6CC22E" w14:textId="77777777" w:rsidR="003909AD" w:rsidRDefault="003909AD" w:rsidP="00B04D77">
            <w:pPr>
              <w:jc w:val="both"/>
              <w:rPr>
                <w:bCs/>
              </w:rPr>
            </w:pPr>
          </w:p>
          <w:p w14:paraId="329AB531" w14:textId="3051D0F3" w:rsidR="00A64D5B" w:rsidRPr="00A64D5B" w:rsidRDefault="00717F2E" w:rsidP="00B04D77">
            <w:pPr>
              <w:jc w:val="both"/>
              <w:rPr>
                <w:bCs/>
              </w:rPr>
            </w:pPr>
            <w:r>
              <w:rPr>
                <w:bCs/>
              </w:rPr>
              <w:t xml:space="preserve">Whereas the introduced required </w:t>
            </w:r>
            <w:r w:rsidRPr="00A64D5B">
              <w:rPr>
                <w:bCs/>
              </w:rPr>
              <w:t xml:space="preserve">a third-party health insurer to respond to an inquiry from HHSC or HHSC's designee regarding a claim for payment not later than the 60th day after receiving the inquiry, provided the </w:t>
            </w:r>
            <w:r>
              <w:rPr>
                <w:bCs/>
              </w:rPr>
              <w:t>claim</w:t>
            </w:r>
            <w:r w:rsidRPr="00A64D5B">
              <w:rPr>
                <w:bCs/>
              </w:rPr>
              <w:t xml:space="preserve"> was submitted not later </w:t>
            </w:r>
            <w:r w:rsidRPr="00A64D5B">
              <w:rPr>
                <w:bCs/>
              </w:rPr>
              <w:t>than the third anniversary of the date the item or service was provided</w:t>
            </w:r>
            <w:r>
              <w:rPr>
                <w:bCs/>
              </w:rPr>
              <w:t>, the substitute requires a third</w:t>
            </w:r>
            <w:r w:rsidR="000E762B">
              <w:rPr>
                <w:bCs/>
              </w:rPr>
              <w:t>-</w:t>
            </w:r>
            <w:r>
              <w:rPr>
                <w:bCs/>
              </w:rPr>
              <w:t xml:space="preserve">party insurer </w:t>
            </w:r>
            <w:r w:rsidR="000E762B">
              <w:rPr>
                <w:bCs/>
              </w:rPr>
              <w:t xml:space="preserve">instead </w:t>
            </w:r>
            <w:r>
              <w:rPr>
                <w:bCs/>
              </w:rPr>
              <w:t>to respon</w:t>
            </w:r>
            <w:r w:rsidR="002B2556">
              <w:rPr>
                <w:bCs/>
              </w:rPr>
              <w:t>d</w:t>
            </w:r>
            <w:r>
              <w:rPr>
                <w:bCs/>
              </w:rPr>
              <w:t xml:space="preserve"> to such an inquiry within that same 60-day period provided the inquiry was submitted not later than that third anniver</w:t>
            </w:r>
            <w:r>
              <w:rPr>
                <w:bCs/>
              </w:rPr>
              <w:t xml:space="preserve">sary. </w:t>
            </w:r>
          </w:p>
        </w:tc>
      </w:tr>
    </w:tbl>
    <w:p w14:paraId="7CFC2AF3" w14:textId="77777777" w:rsidR="008423E4" w:rsidRPr="00BE0E75" w:rsidRDefault="008423E4" w:rsidP="00B04D77">
      <w:pPr>
        <w:jc w:val="both"/>
        <w:rPr>
          <w:rFonts w:ascii="Arial" w:hAnsi="Arial"/>
          <w:sz w:val="16"/>
          <w:szCs w:val="16"/>
        </w:rPr>
      </w:pPr>
    </w:p>
    <w:p w14:paraId="7108AAE7" w14:textId="77777777" w:rsidR="004108C3" w:rsidRPr="008423E4" w:rsidRDefault="004108C3" w:rsidP="00B04D77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1DA96" w14:textId="77777777" w:rsidR="00000000" w:rsidRDefault="00717F2E">
      <w:r>
        <w:separator/>
      </w:r>
    </w:p>
  </w:endnote>
  <w:endnote w:type="continuationSeparator" w:id="0">
    <w:p w14:paraId="263B4510" w14:textId="77777777" w:rsidR="00000000" w:rsidRDefault="00717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9E06C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2102A2" w14:paraId="3AA0AFFB" w14:textId="77777777" w:rsidTr="009C1E9A">
      <w:trPr>
        <w:cantSplit/>
      </w:trPr>
      <w:tc>
        <w:tcPr>
          <w:tcW w:w="0" w:type="pct"/>
        </w:tcPr>
        <w:p w14:paraId="0763D8E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C844BA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A579260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C9729A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E255E5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102A2" w14:paraId="75AD642F" w14:textId="77777777" w:rsidTr="009C1E9A">
      <w:trPr>
        <w:cantSplit/>
      </w:trPr>
      <w:tc>
        <w:tcPr>
          <w:tcW w:w="0" w:type="pct"/>
        </w:tcPr>
        <w:p w14:paraId="418C068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3E23FEE" w14:textId="735DC817" w:rsidR="00EC379B" w:rsidRPr="009C1E9A" w:rsidRDefault="00717F2E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24997-D</w:t>
          </w:r>
        </w:p>
      </w:tc>
      <w:tc>
        <w:tcPr>
          <w:tcW w:w="2453" w:type="pct"/>
        </w:tcPr>
        <w:p w14:paraId="09BB68BA" w14:textId="21E895DE" w:rsidR="00EC379B" w:rsidRDefault="00717F2E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CD285F">
            <w:t>23.112.264</w:t>
          </w:r>
          <w:r>
            <w:fldChar w:fldCharType="end"/>
          </w:r>
        </w:p>
      </w:tc>
    </w:tr>
    <w:tr w:rsidR="002102A2" w14:paraId="0C9FB172" w14:textId="77777777" w:rsidTr="009C1E9A">
      <w:trPr>
        <w:cantSplit/>
      </w:trPr>
      <w:tc>
        <w:tcPr>
          <w:tcW w:w="0" w:type="pct"/>
        </w:tcPr>
        <w:p w14:paraId="17E95D42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EAB5BF4" w14:textId="4D61396C" w:rsidR="00EC379B" w:rsidRPr="009C1E9A" w:rsidRDefault="00717F2E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19014</w:t>
          </w:r>
        </w:p>
      </w:tc>
      <w:tc>
        <w:tcPr>
          <w:tcW w:w="2453" w:type="pct"/>
        </w:tcPr>
        <w:p w14:paraId="3EF39B93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2A41AA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102A2" w14:paraId="7996590B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567130A" w14:textId="77777777" w:rsidR="00EC379B" w:rsidRDefault="00717F2E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E52626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7E2E15A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10A41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E2F07" w14:textId="77777777" w:rsidR="00000000" w:rsidRDefault="00717F2E">
      <w:r>
        <w:separator/>
      </w:r>
    </w:p>
  </w:footnote>
  <w:footnote w:type="continuationSeparator" w:id="0">
    <w:p w14:paraId="01F9E8D7" w14:textId="77777777" w:rsidR="00000000" w:rsidRDefault="00717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0A8D4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86A82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E7A60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90DF4"/>
    <w:multiLevelType w:val="hybridMultilevel"/>
    <w:tmpl w:val="01964644"/>
    <w:lvl w:ilvl="0" w:tplc="D5E2E7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4A62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56AB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FCFA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164E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3A24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9A32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FA32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8882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459D1"/>
    <w:multiLevelType w:val="hybridMultilevel"/>
    <w:tmpl w:val="C7D01F82"/>
    <w:lvl w:ilvl="0" w:tplc="8C029B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2297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9C2E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42D1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8A57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B263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540A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6811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64FF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C02E9"/>
    <w:multiLevelType w:val="hybridMultilevel"/>
    <w:tmpl w:val="93A48748"/>
    <w:lvl w:ilvl="0" w:tplc="82DA4C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9CC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8842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04C3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9E0E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CD3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50F6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AEA2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0091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A0193"/>
    <w:multiLevelType w:val="hybridMultilevel"/>
    <w:tmpl w:val="4B042CD8"/>
    <w:lvl w:ilvl="0" w:tplc="3D4AA8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3A12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D25F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6C93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583E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9A35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F05C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785D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56A0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9A269A"/>
    <w:multiLevelType w:val="hybridMultilevel"/>
    <w:tmpl w:val="5BE0242C"/>
    <w:lvl w:ilvl="0" w:tplc="649893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C270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3206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7849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4ADB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FA01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1268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B478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EED0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52314"/>
    <w:multiLevelType w:val="hybridMultilevel"/>
    <w:tmpl w:val="F4ECA2BA"/>
    <w:lvl w:ilvl="0" w:tplc="15281E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0E4D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66AE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7A4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507B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5C82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B8F4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805C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07B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7D1D4E"/>
    <w:multiLevelType w:val="hybridMultilevel"/>
    <w:tmpl w:val="C38A1090"/>
    <w:lvl w:ilvl="0" w:tplc="7FBCBB86">
      <w:start w:val="1"/>
      <w:numFmt w:val="bullet"/>
      <w:lvlText w:val=""/>
      <w:lvlJc w:val="left"/>
      <w:pPr>
        <w:tabs>
          <w:tab w:val="num" w:pos="847"/>
        </w:tabs>
        <w:ind w:left="847" w:hanging="360"/>
      </w:pPr>
      <w:rPr>
        <w:rFonts w:ascii="Symbol" w:hAnsi="Symbol" w:hint="default"/>
      </w:rPr>
    </w:lvl>
    <w:lvl w:ilvl="1" w:tplc="90DA67A8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F81AB572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47804F38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6B203E18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9E2EB7DA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D1901476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42484BE6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3C88466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7" w15:restartNumberingAfterBreak="0">
    <w:nsid w:val="76126860"/>
    <w:multiLevelType w:val="hybridMultilevel"/>
    <w:tmpl w:val="F098BDD4"/>
    <w:lvl w:ilvl="0" w:tplc="A93E2B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1E2D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082F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2EE5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F606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DC11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C409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A039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7C69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996880">
    <w:abstractNumId w:val="1"/>
  </w:num>
  <w:num w:numId="2" w16cid:durableId="1965382793">
    <w:abstractNumId w:val="0"/>
  </w:num>
  <w:num w:numId="3" w16cid:durableId="613487502">
    <w:abstractNumId w:val="7"/>
  </w:num>
  <w:num w:numId="4" w16cid:durableId="2103182231">
    <w:abstractNumId w:val="3"/>
  </w:num>
  <w:num w:numId="5" w16cid:durableId="186139431">
    <w:abstractNumId w:val="6"/>
  </w:num>
  <w:num w:numId="6" w16cid:durableId="132799671">
    <w:abstractNumId w:val="2"/>
  </w:num>
  <w:num w:numId="7" w16cid:durableId="2005619289">
    <w:abstractNumId w:val="5"/>
  </w:num>
  <w:num w:numId="8" w16cid:durableId="18630862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7C3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6B8A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39D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4DC"/>
    <w:rsid w:val="000D769C"/>
    <w:rsid w:val="000E1976"/>
    <w:rsid w:val="000E20F1"/>
    <w:rsid w:val="000E5B20"/>
    <w:rsid w:val="000E762B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1B90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22AA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47C69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671EE"/>
    <w:rsid w:val="00171BF2"/>
    <w:rsid w:val="0017347B"/>
    <w:rsid w:val="00173B74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3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02A2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322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556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2C59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96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0EC8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4F5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2E8"/>
    <w:rsid w:val="00364315"/>
    <w:rsid w:val="003643E2"/>
    <w:rsid w:val="00370155"/>
    <w:rsid w:val="003712D5"/>
    <w:rsid w:val="003747DF"/>
    <w:rsid w:val="00377E3D"/>
    <w:rsid w:val="003847E8"/>
    <w:rsid w:val="0038639E"/>
    <w:rsid w:val="0038731D"/>
    <w:rsid w:val="00387B60"/>
    <w:rsid w:val="00390098"/>
    <w:rsid w:val="003909AD"/>
    <w:rsid w:val="00392DA1"/>
    <w:rsid w:val="00393718"/>
    <w:rsid w:val="003A0296"/>
    <w:rsid w:val="003A10BC"/>
    <w:rsid w:val="003A6125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119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6ED0"/>
    <w:rsid w:val="004174CD"/>
    <w:rsid w:val="0041775B"/>
    <w:rsid w:val="00422039"/>
    <w:rsid w:val="00423FBC"/>
    <w:rsid w:val="004241AA"/>
    <w:rsid w:val="0042422E"/>
    <w:rsid w:val="0043190E"/>
    <w:rsid w:val="004324E9"/>
    <w:rsid w:val="004327E0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4DE6"/>
    <w:rsid w:val="0049682B"/>
    <w:rsid w:val="004977A3"/>
    <w:rsid w:val="004A03F7"/>
    <w:rsid w:val="004A074B"/>
    <w:rsid w:val="004A081C"/>
    <w:rsid w:val="004A123F"/>
    <w:rsid w:val="004A2172"/>
    <w:rsid w:val="004A239F"/>
    <w:rsid w:val="004A3B6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47C3"/>
    <w:rsid w:val="004D5098"/>
    <w:rsid w:val="004D6497"/>
    <w:rsid w:val="004E0E60"/>
    <w:rsid w:val="004E12A3"/>
    <w:rsid w:val="004E141A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4F7B88"/>
    <w:rsid w:val="00500121"/>
    <w:rsid w:val="005017AC"/>
    <w:rsid w:val="00501E8A"/>
    <w:rsid w:val="00505121"/>
    <w:rsid w:val="00505C04"/>
    <w:rsid w:val="00505F1B"/>
    <w:rsid w:val="005073E8"/>
    <w:rsid w:val="00510503"/>
    <w:rsid w:val="00512679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96424"/>
    <w:rsid w:val="005A0E18"/>
    <w:rsid w:val="005A12A5"/>
    <w:rsid w:val="005A3790"/>
    <w:rsid w:val="005A3CCB"/>
    <w:rsid w:val="005A6D13"/>
    <w:rsid w:val="005B031F"/>
    <w:rsid w:val="005B1259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512E"/>
    <w:rsid w:val="005C7CCB"/>
    <w:rsid w:val="005D1444"/>
    <w:rsid w:val="005D4DAE"/>
    <w:rsid w:val="005D767D"/>
    <w:rsid w:val="005D7794"/>
    <w:rsid w:val="005D7A30"/>
    <w:rsid w:val="005D7D3B"/>
    <w:rsid w:val="005E1999"/>
    <w:rsid w:val="005E232C"/>
    <w:rsid w:val="005E2B83"/>
    <w:rsid w:val="005E4AEB"/>
    <w:rsid w:val="005E4CDE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27A84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1358"/>
    <w:rsid w:val="00662B77"/>
    <w:rsid w:val="00662D0E"/>
    <w:rsid w:val="00663265"/>
    <w:rsid w:val="0066345F"/>
    <w:rsid w:val="0066485B"/>
    <w:rsid w:val="0067036E"/>
    <w:rsid w:val="00671693"/>
    <w:rsid w:val="00673065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4465"/>
    <w:rsid w:val="006B54C5"/>
    <w:rsid w:val="006B5E80"/>
    <w:rsid w:val="006B7A2E"/>
    <w:rsid w:val="006C3720"/>
    <w:rsid w:val="006C4709"/>
    <w:rsid w:val="006D189D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E596E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17F2E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840"/>
    <w:rsid w:val="00755C7B"/>
    <w:rsid w:val="00761B03"/>
    <w:rsid w:val="00764786"/>
    <w:rsid w:val="00766E12"/>
    <w:rsid w:val="0077098E"/>
    <w:rsid w:val="00771287"/>
    <w:rsid w:val="0077149E"/>
    <w:rsid w:val="00776DB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667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722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5D20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241C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0758"/>
    <w:rsid w:val="00901670"/>
    <w:rsid w:val="00902212"/>
    <w:rsid w:val="00903E0A"/>
    <w:rsid w:val="00904721"/>
    <w:rsid w:val="00907780"/>
    <w:rsid w:val="00907A3B"/>
    <w:rsid w:val="00907EDD"/>
    <w:rsid w:val="009107AD"/>
    <w:rsid w:val="00915568"/>
    <w:rsid w:val="00917E0C"/>
    <w:rsid w:val="00920711"/>
    <w:rsid w:val="0092075D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56EE3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1CCF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1B2"/>
    <w:rsid w:val="009C36CD"/>
    <w:rsid w:val="009C43A5"/>
    <w:rsid w:val="009C5A1D"/>
    <w:rsid w:val="009C6B08"/>
    <w:rsid w:val="009C70FC"/>
    <w:rsid w:val="009D002B"/>
    <w:rsid w:val="009D1C82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2D61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0D78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64D5B"/>
    <w:rsid w:val="00A70E35"/>
    <w:rsid w:val="00A720DC"/>
    <w:rsid w:val="00A803CF"/>
    <w:rsid w:val="00A8133F"/>
    <w:rsid w:val="00A82CB4"/>
    <w:rsid w:val="00A837A8"/>
    <w:rsid w:val="00A83C36"/>
    <w:rsid w:val="00A865FE"/>
    <w:rsid w:val="00A91AC1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39C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D77"/>
    <w:rsid w:val="00B04E79"/>
    <w:rsid w:val="00B07488"/>
    <w:rsid w:val="00B075A2"/>
    <w:rsid w:val="00B10DD2"/>
    <w:rsid w:val="00B115DC"/>
    <w:rsid w:val="00B11952"/>
    <w:rsid w:val="00B129A7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19D7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2A78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073B9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1FEC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63C0"/>
    <w:rsid w:val="00CB74CB"/>
    <w:rsid w:val="00CB7E04"/>
    <w:rsid w:val="00CC24B7"/>
    <w:rsid w:val="00CC7131"/>
    <w:rsid w:val="00CC7B9E"/>
    <w:rsid w:val="00CD06CA"/>
    <w:rsid w:val="00CD076A"/>
    <w:rsid w:val="00CD180C"/>
    <w:rsid w:val="00CD285F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754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47ECD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CA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3BFA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B59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021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1D25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731"/>
    <w:rsid w:val="00E85DBD"/>
    <w:rsid w:val="00E87A99"/>
    <w:rsid w:val="00E90702"/>
    <w:rsid w:val="00E9241E"/>
    <w:rsid w:val="00E93DEF"/>
    <w:rsid w:val="00E947B1"/>
    <w:rsid w:val="00E96852"/>
    <w:rsid w:val="00EA16AC"/>
    <w:rsid w:val="00EA2747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4BC4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1A5"/>
    <w:rsid w:val="00FC5388"/>
    <w:rsid w:val="00FC726C"/>
    <w:rsid w:val="00FD1B4B"/>
    <w:rsid w:val="00FD1B94"/>
    <w:rsid w:val="00FD5C5A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50FD2FB-ED44-47FF-93E5-BE1045352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642E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642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642E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642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642E8"/>
    <w:rPr>
      <w:b/>
      <w:bCs/>
    </w:rPr>
  </w:style>
  <w:style w:type="paragraph" w:styleId="Revision">
    <w:name w:val="Revision"/>
    <w:hidden/>
    <w:uiPriority w:val="99"/>
    <w:semiHidden/>
    <w:rsid w:val="0030096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27A84"/>
    <w:pPr>
      <w:ind w:left="720"/>
      <w:contextualSpacing/>
    </w:pPr>
  </w:style>
  <w:style w:type="character" w:styleId="Hyperlink">
    <w:name w:val="Hyperlink"/>
    <w:basedOn w:val="DefaultParagraphFont"/>
    <w:unhideWhenUsed/>
    <w:rsid w:val="001222A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22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1234</Words>
  <Characters>6675</Characters>
  <Application>Microsoft Office Word</Application>
  <DocSecurity>4</DocSecurity>
  <Lines>137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HB03119 (Committee Report (Substituted))</vt:lpstr>
    </vt:vector>
  </TitlesOfParts>
  <Company>State of Texas</Company>
  <LinksUpToDate>false</LinksUpToDate>
  <CharactersWithSpaces>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24997</dc:subject>
  <dc:creator>State of Texas</dc:creator>
  <dc:description>HB 3119 by Smithee-(H)Human Services (Substitute Document Number: 88R 19014)</dc:description>
  <cp:lastModifiedBy>Stacey Nicchio</cp:lastModifiedBy>
  <cp:revision>2</cp:revision>
  <cp:lastPrinted>2003-11-26T17:21:00Z</cp:lastPrinted>
  <dcterms:created xsi:type="dcterms:W3CDTF">2023-04-24T20:14:00Z</dcterms:created>
  <dcterms:modified xsi:type="dcterms:W3CDTF">2023-04-24T20:14:00Z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23.112.264</vt:lpwstr>
  </property>
</Properties>
</file>