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54818" w14:paraId="08ABED73" w14:textId="77777777" w:rsidTr="00345119">
        <w:tc>
          <w:tcPr>
            <w:tcW w:w="9576" w:type="dxa"/>
            <w:noWrap/>
          </w:tcPr>
          <w:p w14:paraId="4A1E54E7" w14:textId="77777777" w:rsidR="008423E4" w:rsidRPr="0022177D" w:rsidRDefault="00BD7C90" w:rsidP="0034587D">
            <w:pPr>
              <w:pStyle w:val="Heading1"/>
            </w:pPr>
            <w:r w:rsidRPr="00631897">
              <w:t>BILL ANALYSIS</w:t>
            </w:r>
          </w:p>
        </w:tc>
      </w:tr>
    </w:tbl>
    <w:p w14:paraId="46C10BD9" w14:textId="77777777" w:rsidR="008423E4" w:rsidRPr="0034587D" w:rsidRDefault="008423E4" w:rsidP="0034587D">
      <w:pPr>
        <w:jc w:val="center"/>
        <w:rPr>
          <w:sz w:val="26"/>
          <w:szCs w:val="26"/>
        </w:rPr>
      </w:pPr>
    </w:p>
    <w:p w14:paraId="76F07113" w14:textId="77777777" w:rsidR="008423E4" w:rsidRPr="00B31F0E" w:rsidRDefault="008423E4" w:rsidP="0034587D"/>
    <w:p w14:paraId="012EDFAA" w14:textId="77777777" w:rsidR="008423E4" w:rsidRPr="0034587D" w:rsidRDefault="008423E4" w:rsidP="0034587D">
      <w:pPr>
        <w:tabs>
          <w:tab w:val="right" w:pos="9360"/>
        </w:tabs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54818" w14:paraId="0D09745A" w14:textId="77777777" w:rsidTr="00345119">
        <w:tc>
          <w:tcPr>
            <w:tcW w:w="9576" w:type="dxa"/>
          </w:tcPr>
          <w:p w14:paraId="7E4736AD" w14:textId="34E2A500" w:rsidR="008423E4" w:rsidRPr="00861995" w:rsidRDefault="00BD7C90" w:rsidP="0034587D">
            <w:pPr>
              <w:jc w:val="right"/>
            </w:pPr>
            <w:r>
              <w:t>C.S.H.B. 3120</w:t>
            </w:r>
          </w:p>
        </w:tc>
      </w:tr>
      <w:tr w:rsidR="00954818" w14:paraId="1A11AA4C" w14:textId="77777777" w:rsidTr="00345119">
        <w:tc>
          <w:tcPr>
            <w:tcW w:w="9576" w:type="dxa"/>
          </w:tcPr>
          <w:p w14:paraId="3EC1561F" w14:textId="31680520" w:rsidR="008423E4" w:rsidRPr="00861995" w:rsidRDefault="00BD7C90" w:rsidP="0034587D">
            <w:pPr>
              <w:jc w:val="right"/>
            </w:pPr>
            <w:r>
              <w:t xml:space="preserve">By: </w:t>
            </w:r>
            <w:r w:rsidR="00FE6835">
              <w:t>Muñoz, Jr.</w:t>
            </w:r>
          </w:p>
        </w:tc>
      </w:tr>
      <w:tr w:rsidR="00954818" w14:paraId="5FBA65BB" w14:textId="77777777" w:rsidTr="00345119">
        <w:tc>
          <w:tcPr>
            <w:tcW w:w="9576" w:type="dxa"/>
          </w:tcPr>
          <w:p w14:paraId="32BEE094" w14:textId="36628100" w:rsidR="008423E4" w:rsidRPr="00861995" w:rsidRDefault="00BD7C90" w:rsidP="0034587D">
            <w:pPr>
              <w:jc w:val="right"/>
            </w:pPr>
            <w:r>
              <w:t>Ways &amp; Means</w:t>
            </w:r>
          </w:p>
        </w:tc>
      </w:tr>
      <w:tr w:rsidR="00954818" w14:paraId="2C71FD4F" w14:textId="77777777" w:rsidTr="00345119">
        <w:tc>
          <w:tcPr>
            <w:tcW w:w="9576" w:type="dxa"/>
          </w:tcPr>
          <w:p w14:paraId="0CDD9A38" w14:textId="29256390" w:rsidR="008423E4" w:rsidRDefault="00BD7C90" w:rsidP="0034587D">
            <w:pPr>
              <w:jc w:val="right"/>
            </w:pPr>
            <w:r>
              <w:t>Committee Report (Substituted)</w:t>
            </w:r>
          </w:p>
        </w:tc>
      </w:tr>
    </w:tbl>
    <w:p w14:paraId="2C0F848F" w14:textId="77777777" w:rsidR="008423E4" w:rsidRDefault="008423E4" w:rsidP="0034587D">
      <w:pPr>
        <w:tabs>
          <w:tab w:val="right" w:pos="9360"/>
        </w:tabs>
      </w:pPr>
    </w:p>
    <w:p w14:paraId="6A5D3903" w14:textId="77777777" w:rsidR="008423E4" w:rsidRPr="0034587D" w:rsidRDefault="008423E4" w:rsidP="0034587D">
      <w:pPr>
        <w:rPr>
          <w:sz w:val="26"/>
          <w:szCs w:val="26"/>
        </w:rPr>
      </w:pPr>
    </w:p>
    <w:p w14:paraId="15612AD8" w14:textId="77777777" w:rsidR="008423E4" w:rsidRDefault="008423E4" w:rsidP="0034587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54818" w14:paraId="0D743943" w14:textId="77777777" w:rsidTr="00CB1C24">
        <w:tc>
          <w:tcPr>
            <w:tcW w:w="9360" w:type="dxa"/>
          </w:tcPr>
          <w:p w14:paraId="4BB55285" w14:textId="77777777" w:rsidR="008423E4" w:rsidRPr="00A8133F" w:rsidRDefault="00BD7C90" w:rsidP="0034587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2B9F0C" w14:textId="77777777" w:rsidR="008423E4" w:rsidRPr="0034587D" w:rsidRDefault="008423E4" w:rsidP="0034587D">
            <w:pPr>
              <w:rPr>
                <w:sz w:val="26"/>
                <w:szCs w:val="26"/>
              </w:rPr>
            </w:pPr>
          </w:p>
          <w:p w14:paraId="528143F5" w14:textId="4B6CD1C7" w:rsidR="008423E4" w:rsidRDefault="00BD7C90" w:rsidP="003458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Community colleges in Texas are considered special taxing </w:t>
            </w:r>
            <w:r w:rsidR="00780E2D">
              <w:t xml:space="preserve">units and have </w:t>
            </w:r>
            <w:r>
              <w:t xml:space="preserve">the ability to raise the </w:t>
            </w:r>
            <w:r w:rsidR="00F66DDA">
              <w:t>voter-approval</w:t>
            </w:r>
            <w:r>
              <w:t xml:space="preserve"> tax rate </w:t>
            </w:r>
            <w:r w:rsidR="00F66DDA">
              <w:t xml:space="preserve">for increased operating expenses </w:t>
            </w:r>
            <w:r w:rsidR="000271BA">
              <w:t xml:space="preserve">by </w:t>
            </w:r>
            <w:r>
              <w:t xml:space="preserve">up to </w:t>
            </w:r>
            <w:r w:rsidR="00780E2D">
              <w:t xml:space="preserve">eight </w:t>
            </w:r>
            <w:r>
              <w:t xml:space="preserve">percent </w:t>
            </w:r>
            <w:r w:rsidR="00780E2D">
              <w:t>annually</w:t>
            </w:r>
            <w:r>
              <w:t xml:space="preserve"> without vote</w:t>
            </w:r>
            <w:r w:rsidR="000E2511">
              <w:t>r approval</w:t>
            </w:r>
            <w:r>
              <w:t>.</w:t>
            </w:r>
            <w:r w:rsidR="00780E2D">
              <w:t xml:space="preserve"> </w:t>
            </w:r>
            <w:r>
              <w:t>As one of the few community college taxing districts that encompass two entire counties</w:t>
            </w:r>
            <w:r w:rsidR="000E2511">
              <w:t>—</w:t>
            </w:r>
            <w:r>
              <w:t>Hidalgo and Starr</w:t>
            </w:r>
            <w:r w:rsidR="000E2511">
              <w:t xml:space="preserve"> Counties—</w:t>
            </w:r>
            <w:r>
              <w:t>the South Texas College governing board holds signif</w:t>
            </w:r>
            <w:r>
              <w:t xml:space="preserve">icant taxing authority in the region. </w:t>
            </w:r>
            <w:r w:rsidR="00780E2D">
              <w:t>C.S.</w:t>
            </w:r>
            <w:r>
              <w:t>H</w:t>
            </w:r>
            <w:r w:rsidR="00780E2D">
              <w:t>.</w:t>
            </w:r>
            <w:r>
              <w:t>B</w:t>
            </w:r>
            <w:r w:rsidR="00780E2D">
              <w:t>.</w:t>
            </w:r>
            <w:r>
              <w:t xml:space="preserve"> 3120 </w:t>
            </w:r>
            <w:r w:rsidR="00F66DDA">
              <w:t xml:space="preserve">seeks to </w:t>
            </w:r>
            <w:r w:rsidR="000E2511">
              <w:t xml:space="preserve">ensure taxpayer oversight of any significant potential increases in maintenance and operations taxes </w:t>
            </w:r>
            <w:r w:rsidR="00590B0F">
              <w:t>in</w:t>
            </w:r>
            <w:r w:rsidR="000E2511">
              <w:t xml:space="preserve"> the South Texas College taxing district</w:t>
            </w:r>
            <w:r w:rsidR="00F66DDA">
              <w:t xml:space="preserve"> by </w:t>
            </w:r>
            <w:r>
              <w:t>lower</w:t>
            </w:r>
            <w:r w:rsidR="000E2511">
              <w:t>ing</w:t>
            </w:r>
            <w:r>
              <w:t xml:space="preserve"> the threshold </w:t>
            </w:r>
            <w:r w:rsidR="00590B0F">
              <w:t>of the</w:t>
            </w:r>
            <w:r w:rsidR="00590B0F" w:rsidRPr="00590B0F">
              <w:t xml:space="preserve"> allowable year-over-year percentage increase in the amount of revenue the district </w:t>
            </w:r>
            <w:r w:rsidR="00590B0F">
              <w:t xml:space="preserve">raises </w:t>
            </w:r>
            <w:r>
              <w:t xml:space="preserve">that triggers a voter election. </w:t>
            </w:r>
          </w:p>
          <w:p w14:paraId="4418FB79" w14:textId="77777777" w:rsidR="008423E4" w:rsidRPr="00E26B13" w:rsidRDefault="008423E4" w:rsidP="0034587D">
            <w:pPr>
              <w:rPr>
                <w:b/>
              </w:rPr>
            </w:pPr>
          </w:p>
        </w:tc>
      </w:tr>
      <w:tr w:rsidR="00954818" w14:paraId="1915D4CF" w14:textId="77777777" w:rsidTr="00CB1C24">
        <w:tc>
          <w:tcPr>
            <w:tcW w:w="9360" w:type="dxa"/>
          </w:tcPr>
          <w:p w14:paraId="3EC56CD2" w14:textId="77777777" w:rsidR="0017725B" w:rsidRDefault="00BD7C90" w:rsidP="003458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EC97F2" w14:textId="77777777" w:rsidR="0017725B" w:rsidRPr="0034587D" w:rsidRDefault="0017725B" w:rsidP="0034587D">
            <w:pPr>
              <w:rPr>
                <w:b/>
                <w:sz w:val="26"/>
                <w:szCs w:val="26"/>
                <w:u w:val="single"/>
              </w:rPr>
            </w:pPr>
          </w:p>
          <w:p w14:paraId="71E433B0" w14:textId="5A9FD275" w:rsidR="00C42669" w:rsidRPr="00C42669" w:rsidRDefault="00BD7C90" w:rsidP="0034587D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3825B176" w14:textId="77777777" w:rsidR="0017725B" w:rsidRPr="0017725B" w:rsidRDefault="0017725B" w:rsidP="0034587D">
            <w:pPr>
              <w:rPr>
                <w:b/>
                <w:u w:val="single"/>
              </w:rPr>
            </w:pPr>
          </w:p>
        </w:tc>
      </w:tr>
      <w:tr w:rsidR="00954818" w14:paraId="5F07E074" w14:textId="77777777" w:rsidTr="00CB1C24">
        <w:tc>
          <w:tcPr>
            <w:tcW w:w="9360" w:type="dxa"/>
          </w:tcPr>
          <w:p w14:paraId="7591D3FA" w14:textId="77777777" w:rsidR="008423E4" w:rsidRPr="00A8133F" w:rsidRDefault="00BD7C90" w:rsidP="0034587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7E024C" w14:textId="77777777" w:rsidR="008423E4" w:rsidRPr="0034587D" w:rsidRDefault="008423E4" w:rsidP="0034587D">
            <w:pPr>
              <w:rPr>
                <w:sz w:val="26"/>
                <w:szCs w:val="26"/>
              </w:rPr>
            </w:pPr>
          </w:p>
          <w:p w14:paraId="49AE0F05" w14:textId="3582FD72" w:rsidR="00C42669" w:rsidRDefault="00BD7C90" w:rsidP="003458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1DBC61FD" w14:textId="77777777" w:rsidR="008423E4" w:rsidRPr="00E21FDC" w:rsidRDefault="008423E4" w:rsidP="0034587D">
            <w:pPr>
              <w:rPr>
                <w:b/>
              </w:rPr>
            </w:pPr>
          </w:p>
        </w:tc>
      </w:tr>
      <w:tr w:rsidR="00954818" w14:paraId="16A71914" w14:textId="77777777" w:rsidTr="00CB1C24">
        <w:tc>
          <w:tcPr>
            <w:tcW w:w="9360" w:type="dxa"/>
          </w:tcPr>
          <w:p w14:paraId="4C3AAF29" w14:textId="77777777" w:rsidR="008423E4" w:rsidRPr="00A8133F" w:rsidRDefault="00BD7C90" w:rsidP="0034587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5E9CC1" w14:textId="77777777" w:rsidR="008423E4" w:rsidRPr="0034587D" w:rsidRDefault="008423E4" w:rsidP="0034587D">
            <w:pPr>
              <w:rPr>
                <w:sz w:val="26"/>
                <w:szCs w:val="26"/>
              </w:rPr>
            </w:pPr>
          </w:p>
          <w:p w14:paraId="286C8C0C" w14:textId="3B09C4B1" w:rsidR="007D046F" w:rsidRDefault="00BD7C90" w:rsidP="0034587D">
            <w:pPr>
              <w:pStyle w:val="Header"/>
              <w:jc w:val="both"/>
            </w:pPr>
            <w:r>
              <w:t>C.S.</w:t>
            </w:r>
            <w:r w:rsidR="00F223CA">
              <w:t xml:space="preserve">H.B. 3120 </w:t>
            </w:r>
            <w:r w:rsidR="00015319">
              <w:t xml:space="preserve">amends the Tax Code to </w:t>
            </w:r>
            <w:r w:rsidR="00AF5EEC">
              <w:t>classify a</w:t>
            </w:r>
            <w:r w:rsidR="00015319">
              <w:t xml:space="preserve"> </w:t>
            </w:r>
            <w:r w:rsidR="00015319" w:rsidRPr="00015319">
              <w:t>junior college district</w:t>
            </w:r>
            <w:r w:rsidR="00015319">
              <w:t xml:space="preserve"> whose service area boundaries and taxing district boundaries are identical and that is located in at least one county adjacent to an international border</w:t>
            </w:r>
            <w:r w:rsidR="00AF5EEC">
              <w:t xml:space="preserve"> as a special junior college district for property tax assessment purposes and to establish a separate formula for such a district to use in calculating its voter</w:t>
            </w:r>
            <w:r w:rsidR="00C448BF">
              <w:noBreakHyphen/>
            </w:r>
            <w:r w:rsidR="00AF5EEC">
              <w:t>approval property tax rate</w:t>
            </w:r>
            <w:r w:rsidR="00E22D58">
              <w:t xml:space="preserve">. </w:t>
            </w:r>
            <w:r w:rsidR="00AF5EEC">
              <w:t>In doing so, t</w:t>
            </w:r>
            <w:r w:rsidR="00E22D58">
              <w:t xml:space="preserve">he bill </w:t>
            </w:r>
            <w:r w:rsidR="000E50BF">
              <w:t xml:space="preserve">reduces </w:t>
            </w:r>
            <w:r w:rsidR="006D4F4D">
              <w:t>the allowable year-over-year percentage increase in the amount of revenue</w:t>
            </w:r>
            <w:r w:rsidR="00D059FE">
              <w:t xml:space="preserve"> the district raises</w:t>
            </w:r>
            <w:r w:rsidR="000E50BF">
              <w:t xml:space="preserve"> from eight percent</w:t>
            </w:r>
            <w:r w:rsidR="00D059FE">
              <w:t>, which applies to all other junior college districts,</w:t>
            </w:r>
            <w:r w:rsidR="000E50BF">
              <w:t xml:space="preserve"> to </w:t>
            </w:r>
            <w:r w:rsidR="0098120C">
              <w:t>3.5</w:t>
            </w:r>
            <w:r w:rsidR="000E50BF">
              <w:t xml:space="preserve"> percent</w:t>
            </w:r>
            <w:r w:rsidR="00985B85">
              <w:t>.</w:t>
            </w:r>
          </w:p>
          <w:p w14:paraId="7D8B6021" w14:textId="3FABB1BC" w:rsidR="00731858" w:rsidRPr="0034587D" w:rsidRDefault="00731858" w:rsidP="0034587D">
            <w:pPr>
              <w:pStyle w:val="Header"/>
              <w:jc w:val="both"/>
              <w:rPr>
                <w:sz w:val="26"/>
                <w:szCs w:val="26"/>
              </w:rPr>
            </w:pPr>
          </w:p>
          <w:p w14:paraId="2509917D" w14:textId="4CA2F821" w:rsidR="00E62F55" w:rsidRDefault="00BD7C90" w:rsidP="0034587D">
            <w:pPr>
              <w:pStyle w:val="Header"/>
              <w:jc w:val="both"/>
            </w:pPr>
            <w:r>
              <w:t>C.S.</w:t>
            </w:r>
            <w:r w:rsidR="006E4B50">
              <w:t xml:space="preserve">H.B. 3120 excludes </w:t>
            </w:r>
            <w:r w:rsidR="00602064">
              <w:t xml:space="preserve">the application of the </w:t>
            </w:r>
            <w:r>
              <w:t xml:space="preserve">special </w:t>
            </w:r>
            <w:r w:rsidRPr="00015319">
              <w:t>junior college district</w:t>
            </w:r>
            <w:r w:rsidR="005453CD">
              <w:t>'</w:t>
            </w:r>
            <w:r>
              <w:t xml:space="preserve">s </w:t>
            </w:r>
            <w:r w:rsidR="00602064">
              <w:t xml:space="preserve">voter-approval tax rate formula </w:t>
            </w:r>
            <w:r w:rsidR="006E4B50">
              <w:t xml:space="preserve">from </w:t>
            </w:r>
            <w:r w:rsidR="00602064">
              <w:t xml:space="preserve">provisions relating to </w:t>
            </w:r>
            <w:r>
              <w:t>the following:</w:t>
            </w:r>
          </w:p>
          <w:p w14:paraId="04DB67FC" w14:textId="607EEDDB" w:rsidR="005453CD" w:rsidRDefault="00BD7C90" w:rsidP="0034587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</w:t>
            </w:r>
            <w:r w:rsidR="00E62F55">
              <w:t xml:space="preserve"> calculation and adoption </w:t>
            </w:r>
            <w:r>
              <w:t xml:space="preserve">of certain tax rates </w:t>
            </w:r>
            <w:r w:rsidR="00E62F55" w:rsidRPr="00E62F55">
              <w:t>in a declared</w:t>
            </w:r>
            <w:r w:rsidR="00844F85">
              <w:t xml:space="preserve"> </w:t>
            </w:r>
            <w:r w:rsidR="00E62F55" w:rsidRPr="00E62F55">
              <w:t>disaster area</w:t>
            </w:r>
            <w:r w:rsidR="00E62F55">
              <w:t xml:space="preserve">; and </w:t>
            </w:r>
          </w:p>
          <w:p w14:paraId="666358B6" w14:textId="71FABE46" w:rsidR="00DA3752" w:rsidRDefault="00BD7C90" w:rsidP="0034587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</w:t>
            </w:r>
            <w:r w:rsidR="00E62F55">
              <w:t xml:space="preserve"> petition</w:t>
            </w:r>
            <w:r w:rsidR="00E62F55" w:rsidRPr="00E62F55">
              <w:t xml:space="preserve"> election to reduce the tax rate of </w:t>
            </w:r>
            <w:r>
              <w:t>certain</w:t>
            </w:r>
            <w:r w:rsidRPr="00E62F55">
              <w:t xml:space="preserve"> </w:t>
            </w:r>
            <w:r w:rsidR="00E62F55" w:rsidRPr="00E62F55">
              <w:t>taxing unit</w:t>
            </w:r>
            <w:r>
              <w:t>s</w:t>
            </w:r>
            <w:r w:rsidR="00C42669">
              <w:t>.</w:t>
            </w:r>
          </w:p>
          <w:p w14:paraId="2F9C0828" w14:textId="77777777" w:rsidR="008A1DA6" w:rsidRDefault="00BD7C90" w:rsidP="0034587D">
            <w:pPr>
              <w:pStyle w:val="Header"/>
              <w:jc w:val="both"/>
            </w:pPr>
            <w:r w:rsidRPr="00DA3752">
              <w:t xml:space="preserve">The bill's provisions apply only to property taxes imposed for a property tax year that begins on or after </w:t>
            </w:r>
            <w:r w:rsidRPr="00DA3752">
              <w:t>the bill's effective date.</w:t>
            </w:r>
          </w:p>
          <w:p w14:paraId="3D5F936A" w14:textId="34E77C65" w:rsidR="00CB1C24" w:rsidRPr="00015319" w:rsidRDefault="00CB1C24" w:rsidP="0034587D">
            <w:pPr>
              <w:pStyle w:val="Header"/>
              <w:jc w:val="both"/>
            </w:pPr>
          </w:p>
        </w:tc>
      </w:tr>
      <w:tr w:rsidR="00954818" w14:paraId="0F0CAFA8" w14:textId="77777777" w:rsidTr="00CB1C24">
        <w:tc>
          <w:tcPr>
            <w:tcW w:w="9360" w:type="dxa"/>
          </w:tcPr>
          <w:p w14:paraId="2379E2B8" w14:textId="77777777" w:rsidR="008423E4" w:rsidRPr="00A8133F" w:rsidRDefault="00BD7C90" w:rsidP="0034587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FB6724" w14:textId="77777777" w:rsidR="008423E4" w:rsidRPr="0034587D" w:rsidRDefault="008423E4" w:rsidP="0034587D">
            <w:pPr>
              <w:rPr>
                <w:sz w:val="26"/>
                <w:szCs w:val="26"/>
              </w:rPr>
            </w:pPr>
          </w:p>
          <w:p w14:paraId="68B08FB1" w14:textId="50CB1A58" w:rsidR="008423E4" w:rsidRPr="003624F2" w:rsidRDefault="00BD7C90" w:rsidP="0034587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47BB9634" w14:textId="5292A5E1" w:rsidR="008423E4" w:rsidRDefault="008423E4" w:rsidP="0034587D">
            <w:pPr>
              <w:rPr>
                <w:b/>
              </w:rPr>
            </w:pPr>
          </w:p>
          <w:p w14:paraId="58855B4E" w14:textId="0FF1BBBA" w:rsidR="00CB1C24" w:rsidRPr="00233FDB" w:rsidRDefault="00CB1C24" w:rsidP="0034587D">
            <w:pPr>
              <w:rPr>
                <w:b/>
              </w:rPr>
            </w:pPr>
          </w:p>
        </w:tc>
      </w:tr>
      <w:tr w:rsidR="00954818" w14:paraId="57F0C2BD" w14:textId="77777777" w:rsidTr="00CB1C24">
        <w:tc>
          <w:tcPr>
            <w:tcW w:w="9360" w:type="dxa"/>
          </w:tcPr>
          <w:p w14:paraId="52364E86" w14:textId="77777777" w:rsidR="00FE6835" w:rsidRDefault="00BD7C90" w:rsidP="0034587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1CDDFA7" w14:textId="77777777" w:rsidR="0080246A" w:rsidRDefault="0080246A" w:rsidP="0034587D">
            <w:pPr>
              <w:jc w:val="both"/>
            </w:pPr>
          </w:p>
          <w:p w14:paraId="310ABCA8" w14:textId="692B54A1" w:rsidR="0080246A" w:rsidRDefault="00BD7C90" w:rsidP="0034587D">
            <w:pPr>
              <w:jc w:val="both"/>
            </w:pPr>
            <w:r>
              <w:t>While C.S.H.B. 3120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3AC07C55" w14:textId="2F3A57D6" w:rsidR="0080246A" w:rsidRDefault="0080246A" w:rsidP="0034587D">
            <w:pPr>
              <w:jc w:val="both"/>
            </w:pPr>
          </w:p>
          <w:p w14:paraId="6C4878CB" w14:textId="41451FC1" w:rsidR="0080246A" w:rsidRDefault="00BD7C90" w:rsidP="0034587D">
            <w:pPr>
              <w:jc w:val="both"/>
            </w:pPr>
            <w:r>
              <w:t>While both</w:t>
            </w:r>
            <w:r w:rsidRPr="0080246A">
              <w:t xml:space="preserve"> the introduced</w:t>
            </w:r>
            <w:r>
              <w:t xml:space="preserve"> and the substitute reduce the allowable year-over-year percentage increase in the amount of revenue</w:t>
            </w:r>
            <w:r>
              <w:t xml:space="preserve"> </w:t>
            </w:r>
            <w:r w:rsidR="00F15DB7">
              <w:t xml:space="preserve">raised by </w:t>
            </w:r>
            <w:r>
              <w:t>the district</w:t>
            </w:r>
            <w:r w:rsidR="00F15DB7">
              <w:t xml:space="preserve"> subject to the bill as compared to all other junior college districts</w:t>
            </w:r>
            <w:r>
              <w:t xml:space="preserve">, </w:t>
            </w:r>
            <w:r w:rsidRPr="0080246A">
              <w:t xml:space="preserve">the substitute </w:t>
            </w:r>
            <w:r>
              <w:t>increases the percentage from three percent, as provided in the introduced, to 3.5 percent.</w:t>
            </w:r>
          </w:p>
          <w:p w14:paraId="74436118" w14:textId="03F451D3" w:rsidR="0080246A" w:rsidRPr="0080246A" w:rsidRDefault="0080246A" w:rsidP="0034587D">
            <w:pPr>
              <w:jc w:val="both"/>
            </w:pPr>
          </w:p>
        </w:tc>
      </w:tr>
    </w:tbl>
    <w:p w14:paraId="74BB7E38" w14:textId="77777777" w:rsidR="008423E4" w:rsidRPr="00BE0E75" w:rsidRDefault="008423E4" w:rsidP="0034587D">
      <w:pPr>
        <w:jc w:val="both"/>
        <w:rPr>
          <w:rFonts w:ascii="Arial" w:hAnsi="Arial"/>
          <w:sz w:val="16"/>
          <w:szCs w:val="16"/>
        </w:rPr>
      </w:pPr>
    </w:p>
    <w:p w14:paraId="57E62167" w14:textId="77777777" w:rsidR="004108C3" w:rsidRPr="008423E4" w:rsidRDefault="004108C3" w:rsidP="0034587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D64B" w14:textId="77777777" w:rsidR="00000000" w:rsidRDefault="00BD7C90">
      <w:r>
        <w:separator/>
      </w:r>
    </w:p>
  </w:endnote>
  <w:endnote w:type="continuationSeparator" w:id="0">
    <w:p w14:paraId="162B7640" w14:textId="77777777" w:rsidR="00000000" w:rsidRDefault="00BD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E36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54818" w14:paraId="1393E65A" w14:textId="77777777" w:rsidTr="009C1E9A">
      <w:trPr>
        <w:cantSplit/>
      </w:trPr>
      <w:tc>
        <w:tcPr>
          <w:tcW w:w="0" w:type="pct"/>
        </w:tcPr>
        <w:p w14:paraId="3A2C3C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1EE4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34A1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3564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634D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4818" w14:paraId="188B0594" w14:textId="77777777" w:rsidTr="009C1E9A">
      <w:trPr>
        <w:cantSplit/>
      </w:trPr>
      <w:tc>
        <w:tcPr>
          <w:tcW w:w="0" w:type="pct"/>
        </w:tcPr>
        <w:p w14:paraId="2BF8D6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5BE4DA" w14:textId="1CE52D13" w:rsidR="00EC379B" w:rsidRPr="009C1E9A" w:rsidRDefault="00BD7C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22436-D</w:t>
          </w:r>
        </w:p>
      </w:tc>
      <w:tc>
        <w:tcPr>
          <w:tcW w:w="2453" w:type="pct"/>
        </w:tcPr>
        <w:p w14:paraId="5467433B" w14:textId="003EB3C3" w:rsidR="00EC379B" w:rsidRDefault="00BD7C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B1C24">
            <w:t>23.96.1440</w:t>
          </w:r>
          <w:r>
            <w:fldChar w:fldCharType="end"/>
          </w:r>
        </w:p>
      </w:tc>
    </w:tr>
    <w:tr w:rsidR="00954818" w14:paraId="67589D2D" w14:textId="77777777" w:rsidTr="009C1E9A">
      <w:trPr>
        <w:cantSplit/>
      </w:trPr>
      <w:tc>
        <w:tcPr>
          <w:tcW w:w="0" w:type="pct"/>
        </w:tcPr>
        <w:p w14:paraId="2861BBC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86CD5C5" w14:textId="7BFBBEEE" w:rsidR="00EC379B" w:rsidRPr="009C1E9A" w:rsidRDefault="00BD7C9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20426</w:t>
          </w:r>
        </w:p>
      </w:tc>
      <w:tc>
        <w:tcPr>
          <w:tcW w:w="2453" w:type="pct"/>
        </w:tcPr>
        <w:p w14:paraId="1251CDA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4BF0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4818" w14:paraId="19BBB7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92B185" w14:textId="77777777" w:rsidR="00EC379B" w:rsidRDefault="00BD7C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FB123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1842D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779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119B" w14:textId="77777777" w:rsidR="00000000" w:rsidRDefault="00BD7C90">
      <w:r>
        <w:separator/>
      </w:r>
    </w:p>
  </w:footnote>
  <w:footnote w:type="continuationSeparator" w:id="0">
    <w:p w14:paraId="2CDD4739" w14:textId="77777777" w:rsidR="00000000" w:rsidRDefault="00BD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3B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297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680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57F0F"/>
    <w:multiLevelType w:val="hybridMultilevel"/>
    <w:tmpl w:val="6920552A"/>
    <w:lvl w:ilvl="0" w:tplc="0C4AB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6A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F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8A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61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68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01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4C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00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3EEB"/>
    <w:multiLevelType w:val="hybridMultilevel"/>
    <w:tmpl w:val="15E8E54A"/>
    <w:lvl w:ilvl="0" w:tplc="56880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3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A4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A5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5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429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0C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8F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AF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5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319"/>
    <w:rsid w:val="000155D6"/>
    <w:rsid w:val="00015D4E"/>
    <w:rsid w:val="00020C1E"/>
    <w:rsid w:val="00020E9B"/>
    <w:rsid w:val="000236C1"/>
    <w:rsid w:val="000236EC"/>
    <w:rsid w:val="0002413D"/>
    <w:rsid w:val="000249F2"/>
    <w:rsid w:val="000271BA"/>
    <w:rsid w:val="00027E81"/>
    <w:rsid w:val="00030026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511"/>
    <w:rsid w:val="000E50BF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D10"/>
    <w:rsid w:val="00107BF1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277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672"/>
    <w:rsid w:val="002E21B8"/>
    <w:rsid w:val="002E7DF9"/>
    <w:rsid w:val="002F097B"/>
    <w:rsid w:val="002F1778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46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87D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EEB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681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3CD"/>
    <w:rsid w:val="00545548"/>
    <w:rsid w:val="00546923"/>
    <w:rsid w:val="0055105C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B0F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064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E07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729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F4D"/>
    <w:rsid w:val="006D504F"/>
    <w:rsid w:val="006E0CAC"/>
    <w:rsid w:val="006E1CFB"/>
    <w:rsid w:val="006E1F94"/>
    <w:rsid w:val="006E26C1"/>
    <w:rsid w:val="006E30A8"/>
    <w:rsid w:val="006E45B0"/>
    <w:rsid w:val="006E4B5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858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E2D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46F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46A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F8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DA6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E09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6B1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818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20C"/>
    <w:rsid w:val="0098170E"/>
    <w:rsid w:val="0098285C"/>
    <w:rsid w:val="00983B56"/>
    <w:rsid w:val="009847FD"/>
    <w:rsid w:val="009851B3"/>
    <w:rsid w:val="00985300"/>
    <w:rsid w:val="00985B85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5B3"/>
    <w:rsid w:val="00AF5EEC"/>
    <w:rsid w:val="00AF7C74"/>
    <w:rsid w:val="00B000AF"/>
    <w:rsid w:val="00B04E79"/>
    <w:rsid w:val="00B04F9E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C90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9B2"/>
    <w:rsid w:val="00C040AB"/>
    <w:rsid w:val="00C0499B"/>
    <w:rsid w:val="00C05406"/>
    <w:rsid w:val="00C05CF0"/>
    <w:rsid w:val="00C106A5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669"/>
    <w:rsid w:val="00C42B41"/>
    <w:rsid w:val="00C448B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57D"/>
    <w:rsid w:val="00CA3608"/>
    <w:rsid w:val="00CA4CA0"/>
    <w:rsid w:val="00CA5E5E"/>
    <w:rsid w:val="00CA7D7B"/>
    <w:rsid w:val="00CB0131"/>
    <w:rsid w:val="00CB0AE4"/>
    <w:rsid w:val="00CB0C21"/>
    <w:rsid w:val="00CB0D1A"/>
    <w:rsid w:val="00CB1C24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5E5"/>
    <w:rsid w:val="00CD37DA"/>
    <w:rsid w:val="00CD4F2C"/>
    <w:rsid w:val="00CD5152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56A"/>
    <w:rsid w:val="00D03176"/>
    <w:rsid w:val="00D059FE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500"/>
    <w:rsid w:val="00D730FA"/>
    <w:rsid w:val="00D76631"/>
    <w:rsid w:val="00D768B7"/>
    <w:rsid w:val="00D77492"/>
    <w:rsid w:val="00D80CED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752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D58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F55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00B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DB7"/>
    <w:rsid w:val="00F164B4"/>
    <w:rsid w:val="00F176E4"/>
    <w:rsid w:val="00F20E5F"/>
    <w:rsid w:val="00F223CA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DDA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835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6AC85-3944-4087-9B6E-BCB5291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2F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F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2F55"/>
    <w:rPr>
      <w:b/>
      <w:bCs/>
    </w:rPr>
  </w:style>
  <w:style w:type="paragraph" w:styleId="Revision">
    <w:name w:val="Revision"/>
    <w:hidden/>
    <w:uiPriority w:val="99"/>
    <w:semiHidden/>
    <w:rsid w:val="000E50BF"/>
    <w:rPr>
      <w:sz w:val="24"/>
      <w:szCs w:val="24"/>
    </w:rPr>
  </w:style>
  <w:style w:type="character" w:styleId="Hyperlink">
    <w:name w:val="Hyperlink"/>
    <w:basedOn w:val="DefaultParagraphFont"/>
    <w:unhideWhenUsed/>
    <w:rsid w:val="00D705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2560</Characters>
  <Application>Microsoft Office Word</Application>
  <DocSecurity>4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HB03120 (Committee Report (Substituted))</vt:lpstr>
    </vt:vector>
  </TitlesOfParts>
  <Company>State of Texas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22436</dc:subject>
  <dc:creator>State of Texas</dc:creator>
  <dc:description>HB 3120 by Muñoz, Jr.-(H)Ways &amp; Means (Substitute Document Number: 88R 20426)</dc:description>
  <cp:lastModifiedBy>Thomas Weis</cp:lastModifiedBy>
  <cp:revision>2</cp:revision>
  <cp:lastPrinted>2003-11-26T17:21:00Z</cp:lastPrinted>
  <dcterms:created xsi:type="dcterms:W3CDTF">2023-04-12T20:46:00Z</dcterms:created>
  <dcterms:modified xsi:type="dcterms:W3CDTF">2023-04-12T20:46:00Z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23.96.1440</vt:lpwstr>
  </property>
</Properties>
</file>