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B2C9D" w14:paraId="05DD4F01" w14:textId="77777777" w:rsidTr="00345119">
        <w:tc>
          <w:tcPr>
            <w:tcW w:w="9576" w:type="dxa"/>
            <w:noWrap/>
          </w:tcPr>
          <w:p w14:paraId="132176F5" w14:textId="77777777" w:rsidR="008423E4" w:rsidRPr="0022177D" w:rsidRDefault="00F8685B" w:rsidP="006A58FC">
            <w:pPr>
              <w:pStyle w:val="Heading1"/>
            </w:pPr>
            <w:r w:rsidRPr="00631897">
              <w:t>BILL ANALYSIS</w:t>
            </w:r>
          </w:p>
        </w:tc>
      </w:tr>
    </w:tbl>
    <w:p w14:paraId="162C7D1B" w14:textId="77777777" w:rsidR="008423E4" w:rsidRPr="0022177D" w:rsidRDefault="008423E4" w:rsidP="006A58FC">
      <w:pPr>
        <w:jc w:val="center"/>
      </w:pPr>
    </w:p>
    <w:p w14:paraId="43C840F0" w14:textId="77777777" w:rsidR="008423E4" w:rsidRPr="00B31F0E" w:rsidRDefault="008423E4" w:rsidP="006A58FC"/>
    <w:p w14:paraId="746FFFA4" w14:textId="77777777" w:rsidR="008423E4" w:rsidRPr="00742794" w:rsidRDefault="008423E4" w:rsidP="006A58F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B2C9D" w14:paraId="65CD1FE2" w14:textId="77777777" w:rsidTr="00345119">
        <w:tc>
          <w:tcPr>
            <w:tcW w:w="9576" w:type="dxa"/>
          </w:tcPr>
          <w:p w14:paraId="07AF2939" w14:textId="3E9878EC" w:rsidR="008423E4" w:rsidRPr="00861995" w:rsidRDefault="00F8685B" w:rsidP="006A58FC">
            <w:pPr>
              <w:jc w:val="right"/>
            </w:pPr>
            <w:r>
              <w:t>C.S.H.B. 3130</w:t>
            </w:r>
          </w:p>
        </w:tc>
      </w:tr>
      <w:tr w:rsidR="001B2C9D" w14:paraId="6DD5AC96" w14:textId="77777777" w:rsidTr="00345119">
        <w:tc>
          <w:tcPr>
            <w:tcW w:w="9576" w:type="dxa"/>
          </w:tcPr>
          <w:p w14:paraId="094D1971" w14:textId="4A11602F" w:rsidR="008423E4" w:rsidRPr="00861995" w:rsidRDefault="00F8685B" w:rsidP="006A58FC">
            <w:pPr>
              <w:jc w:val="right"/>
            </w:pPr>
            <w:r>
              <w:t xml:space="preserve">By: </w:t>
            </w:r>
            <w:r w:rsidR="00E60C67">
              <w:t>Guerra</w:t>
            </w:r>
          </w:p>
        </w:tc>
      </w:tr>
      <w:tr w:rsidR="001B2C9D" w14:paraId="07B0ECD6" w14:textId="77777777" w:rsidTr="00345119">
        <w:tc>
          <w:tcPr>
            <w:tcW w:w="9576" w:type="dxa"/>
          </w:tcPr>
          <w:p w14:paraId="394ADA99" w14:textId="2DFD06EF" w:rsidR="008423E4" w:rsidRPr="00861995" w:rsidRDefault="00F8685B" w:rsidP="006A58FC">
            <w:pPr>
              <w:jc w:val="right"/>
            </w:pPr>
            <w:r>
              <w:t>State Affairs</w:t>
            </w:r>
          </w:p>
        </w:tc>
      </w:tr>
      <w:tr w:rsidR="001B2C9D" w14:paraId="5D4BA10A" w14:textId="77777777" w:rsidTr="00345119">
        <w:tc>
          <w:tcPr>
            <w:tcW w:w="9576" w:type="dxa"/>
          </w:tcPr>
          <w:p w14:paraId="297A8BA2" w14:textId="3475F1B5" w:rsidR="008423E4" w:rsidRDefault="00F8685B" w:rsidP="006A58FC">
            <w:pPr>
              <w:jc w:val="right"/>
            </w:pPr>
            <w:r>
              <w:t>Committee Report (Substituted)</w:t>
            </w:r>
          </w:p>
        </w:tc>
      </w:tr>
    </w:tbl>
    <w:p w14:paraId="396DD8A5" w14:textId="77777777" w:rsidR="008423E4" w:rsidRDefault="008423E4" w:rsidP="006A58FC">
      <w:pPr>
        <w:tabs>
          <w:tab w:val="right" w:pos="9360"/>
        </w:tabs>
      </w:pPr>
    </w:p>
    <w:p w14:paraId="461D0DE1" w14:textId="77777777" w:rsidR="008423E4" w:rsidRDefault="008423E4" w:rsidP="006A58FC"/>
    <w:p w14:paraId="63AA45B5" w14:textId="77777777" w:rsidR="008423E4" w:rsidRDefault="008423E4" w:rsidP="006A58F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B2C9D" w14:paraId="1368B31B" w14:textId="77777777" w:rsidTr="00345119">
        <w:tc>
          <w:tcPr>
            <w:tcW w:w="9576" w:type="dxa"/>
          </w:tcPr>
          <w:p w14:paraId="164109D9" w14:textId="77777777" w:rsidR="008423E4" w:rsidRPr="00A8133F" w:rsidRDefault="00F8685B" w:rsidP="006A58F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8237C2F" w14:textId="77777777" w:rsidR="008423E4" w:rsidRDefault="008423E4" w:rsidP="006A58FC"/>
          <w:p w14:paraId="645FF34F" w14:textId="564AD7E0" w:rsidR="008423E4" w:rsidRDefault="00F8685B" w:rsidP="006A58F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D1EFD">
              <w:t xml:space="preserve">The Texas Council on Family Violence </w:t>
            </w:r>
            <w:r>
              <w:t>has suggested that the state could help</w:t>
            </w:r>
            <w:r w:rsidRPr="003D1EFD">
              <w:t xml:space="preserve"> </w:t>
            </w:r>
            <w:r>
              <w:t>reduce</w:t>
            </w:r>
            <w:r w:rsidRPr="003D1EFD">
              <w:t xml:space="preserve"> safety risks for survivors of family violence, sexual abuse, and trafficking by </w:t>
            </w:r>
            <w:r w:rsidR="00E13E1D">
              <w:t xml:space="preserve">better </w:t>
            </w:r>
            <w:r w:rsidRPr="003D1EFD">
              <w:t xml:space="preserve">protecting </w:t>
            </w:r>
            <w:r w:rsidR="00E13E1D">
              <w:t xml:space="preserve">a survivor's </w:t>
            </w:r>
            <w:r w:rsidRPr="003D1EFD">
              <w:t>identifying information.</w:t>
            </w:r>
            <w:r>
              <w:t xml:space="preserve"> C.S.H.B. 3130 seeks to</w:t>
            </w:r>
            <w:r w:rsidRPr="003D1EFD">
              <w:t xml:space="preserve"> give survivors the ability to request occupational licensing agencies to stop providing their pe</w:t>
            </w:r>
            <w:r w:rsidRPr="003D1EFD">
              <w:t xml:space="preserve">rsonal identifying information as part of </w:t>
            </w:r>
            <w:r w:rsidR="007518D4">
              <w:t>p</w:t>
            </w:r>
            <w:r w:rsidRPr="003D1EFD">
              <w:t xml:space="preserve">ublic </w:t>
            </w:r>
            <w:r w:rsidR="007518D4">
              <w:t>i</w:t>
            </w:r>
            <w:r w:rsidRPr="003D1EFD">
              <w:t xml:space="preserve">nformation </w:t>
            </w:r>
            <w:r w:rsidR="007518D4">
              <w:t>r</w:t>
            </w:r>
            <w:r w:rsidRPr="003D1EFD">
              <w:t>equests.</w:t>
            </w:r>
          </w:p>
          <w:p w14:paraId="50060E8A" w14:textId="77777777" w:rsidR="008423E4" w:rsidRPr="00E26B13" w:rsidRDefault="008423E4" w:rsidP="006A58FC">
            <w:pPr>
              <w:rPr>
                <w:b/>
              </w:rPr>
            </w:pPr>
          </w:p>
        </w:tc>
      </w:tr>
      <w:tr w:rsidR="001B2C9D" w14:paraId="021CDB26" w14:textId="77777777" w:rsidTr="00345119">
        <w:tc>
          <w:tcPr>
            <w:tcW w:w="9576" w:type="dxa"/>
          </w:tcPr>
          <w:p w14:paraId="32ABC6A9" w14:textId="77777777" w:rsidR="0017725B" w:rsidRDefault="00F8685B" w:rsidP="006A58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2F10F8C" w14:textId="77777777" w:rsidR="0017725B" w:rsidRDefault="0017725B" w:rsidP="006A58FC">
            <w:pPr>
              <w:rPr>
                <w:b/>
                <w:u w:val="single"/>
              </w:rPr>
            </w:pPr>
          </w:p>
          <w:p w14:paraId="457E56A2" w14:textId="1ACE576D" w:rsidR="00CD6392" w:rsidRPr="00CD6392" w:rsidRDefault="00F8685B" w:rsidP="006A58FC">
            <w:pPr>
              <w:jc w:val="both"/>
            </w:pPr>
            <w:r>
              <w:t>It is the committee's opinion that this bill does not expressly create a criminal offense, increase the punishment for an existing criminal offense or categor</w:t>
            </w:r>
            <w:r>
              <w:t>y of offenses, or change the eligibility of a person for community supervision, parole, or mandatory supervision.</w:t>
            </w:r>
          </w:p>
          <w:p w14:paraId="7119B40A" w14:textId="77777777" w:rsidR="0017725B" w:rsidRPr="0017725B" w:rsidRDefault="0017725B" w:rsidP="006A58FC">
            <w:pPr>
              <w:rPr>
                <w:b/>
                <w:u w:val="single"/>
              </w:rPr>
            </w:pPr>
          </w:p>
        </w:tc>
      </w:tr>
      <w:tr w:rsidR="001B2C9D" w14:paraId="319B8CC7" w14:textId="77777777" w:rsidTr="00345119">
        <w:tc>
          <w:tcPr>
            <w:tcW w:w="9576" w:type="dxa"/>
          </w:tcPr>
          <w:p w14:paraId="280FE97E" w14:textId="77777777" w:rsidR="008423E4" w:rsidRPr="00A8133F" w:rsidRDefault="00F8685B" w:rsidP="006A58F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57D5275" w14:textId="77777777" w:rsidR="008423E4" w:rsidRDefault="008423E4" w:rsidP="006A58FC"/>
          <w:p w14:paraId="3F6BEC26" w14:textId="2A4F4DF0" w:rsidR="00CD6392" w:rsidRDefault="00F8685B" w:rsidP="006A58F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</w:t>
            </w:r>
            <w:r>
              <w:t>officer, department, agency, or institution.</w:t>
            </w:r>
          </w:p>
          <w:p w14:paraId="75329C1A" w14:textId="77777777" w:rsidR="008423E4" w:rsidRPr="00E21FDC" w:rsidRDefault="008423E4" w:rsidP="006A58FC">
            <w:pPr>
              <w:rPr>
                <w:b/>
              </w:rPr>
            </w:pPr>
          </w:p>
        </w:tc>
      </w:tr>
      <w:tr w:rsidR="001B2C9D" w14:paraId="59766581" w14:textId="77777777" w:rsidTr="00345119">
        <w:tc>
          <w:tcPr>
            <w:tcW w:w="9576" w:type="dxa"/>
          </w:tcPr>
          <w:p w14:paraId="37748789" w14:textId="77777777" w:rsidR="008423E4" w:rsidRPr="00A8133F" w:rsidRDefault="00F8685B" w:rsidP="006A58F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C805310" w14:textId="77777777" w:rsidR="008423E4" w:rsidRDefault="008423E4" w:rsidP="006A58FC"/>
          <w:p w14:paraId="1EE0AD5A" w14:textId="66C54899" w:rsidR="006B5474" w:rsidRDefault="00F8685B" w:rsidP="006A58F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46510A">
              <w:t xml:space="preserve">H.B. 3130 amends the Government Code </w:t>
            </w:r>
            <w:r w:rsidR="00146383">
              <w:t xml:space="preserve">to prohibit a governmental body from selling or otherwise releasing </w:t>
            </w:r>
            <w:r>
              <w:t xml:space="preserve">any of the following information </w:t>
            </w:r>
            <w:r w:rsidR="00146383">
              <w:t xml:space="preserve">of a </w:t>
            </w:r>
            <w:r>
              <w:t xml:space="preserve">person </w:t>
            </w:r>
            <w:r w:rsidR="00AB7643">
              <w:t>who</w:t>
            </w:r>
            <w:r w:rsidR="00100DBD">
              <w:t xml:space="preserve"> holds, previously held, or is an applicant for an occupational license issued by the governmental body if the person </w:t>
            </w:r>
            <w:r w:rsidR="00146383">
              <w:t xml:space="preserve">notifies the governmental body </w:t>
            </w:r>
            <w:r>
              <w:t xml:space="preserve">on </w:t>
            </w:r>
            <w:r w:rsidR="00146383">
              <w:t xml:space="preserve">a form provided by the </w:t>
            </w:r>
            <w:r w:rsidR="00AB7643">
              <w:t xml:space="preserve">Office </w:t>
            </w:r>
            <w:r w:rsidR="00146383">
              <w:t xml:space="preserve">of the </w:t>
            </w:r>
            <w:r w:rsidR="00AB7643">
              <w:t>A</w:t>
            </w:r>
            <w:r w:rsidR="00146383">
              <w:t xml:space="preserve">ttorney </w:t>
            </w:r>
            <w:r w:rsidR="00AB7643">
              <w:t>G</w:t>
            </w:r>
            <w:r w:rsidR="00146383">
              <w:t>eneral</w:t>
            </w:r>
            <w:r w:rsidR="00E3467B">
              <w:t xml:space="preserve"> (OAG)</w:t>
            </w:r>
            <w:r w:rsidR="00146383">
              <w:t xml:space="preserve"> or the governmental body</w:t>
            </w:r>
            <w:r>
              <w:t xml:space="preserve"> that the person</w:t>
            </w:r>
            <w:r w:rsidR="00100DBD">
              <w:t xml:space="preserve"> </w:t>
            </w:r>
            <w:r>
              <w:t xml:space="preserve">is </w:t>
            </w:r>
            <w:r>
              <w:t>a current or former client of a family violence shelter center, victims of trafficking shelter center, or sexual assault program or is a survivor of family violence, domestic violence, or sexual assault and chooses to restrict public access to the informat</w:t>
            </w:r>
            <w:r>
              <w:t xml:space="preserve">ion: </w:t>
            </w:r>
          </w:p>
          <w:p w14:paraId="697AF29F" w14:textId="504AE9FA" w:rsidR="006B5474" w:rsidRDefault="00F8685B" w:rsidP="006A58F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name and date of birth; </w:t>
            </w:r>
          </w:p>
          <w:p w14:paraId="6BAFE1C2" w14:textId="748612B1" w:rsidR="006B5474" w:rsidRDefault="00F8685B" w:rsidP="006A58F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home or business address; </w:t>
            </w:r>
          </w:p>
          <w:p w14:paraId="1E5000D9" w14:textId="3D1BF48B" w:rsidR="006B5474" w:rsidRDefault="00F8685B" w:rsidP="006A58F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place of employment; </w:t>
            </w:r>
          </w:p>
          <w:p w14:paraId="57ACE883" w14:textId="1D18C342" w:rsidR="006B5474" w:rsidRDefault="00F8685B" w:rsidP="006A58F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telephone number; </w:t>
            </w:r>
          </w:p>
          <w:p w14:paraId="5A526B91" w14:textId="6B27DE2C" w:rsidR="006B5474" w:rsidRDefault="00F8685B" w:rsidP="006A58F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email address; </w:t>
            </w:r>
          </w:p>
          <w:p w14:paraId="58763299" w14:textId="090D3631" w:rsidR="006B5474" w:rsidRDefault="00F8685B" w:rsidP="006A58F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social security number; </w:t>
            </w:r>
          </w:p>
          <w:p w14:paraId="3B4A6035" w14:textId="146F35BD" w:rsidR="006B5474" w:rsidRDefault="00F8685B" w:rsidP="006A58F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driver's license or state identification number; </w:t>
            </w:r>
          </w:p>
          <w:p w14:paraId="195FD809" w14:textId="4311FB93" w:rsidR="006B5474" w:rsidRDefault="00F8685B" w:rsidP="006A58F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passport number; </w:t>
            </w:r>
          </w:p>
          <w:p w14:paraId="623E163F" w14:textId="5611092A" w:rsidR="006B5474" w:rsidRDefault="00F8685B" w:rsidP="006A58F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emergency contact information; or </w:t>
            </w:r>
          </w:p>
          <w:p w14:paraId="6AC6EE6F" w14:textId="2766CD86" w:rsidR="006B5474" w:rsidRDefault="00F8685B" w:rsidP="006A58F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numeric ident</w:t>
            </w:r>
            <w:r>
              <w:t>ifier.</w:t>
            </w:r>
          </w:p>
          <w:p w14:paraId="27871164" w14:textId="397F0E98" w:rsidR="00146383" w:rsidRPr="009C36CD" w:rsidRDefault="00F8685B" w:rsidP="006A58F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</w:t>
            </w:r>
            <w:r w:rsidR="00E3467B">
              <w:t xml:space="preserve"> authorizes a</w:t>
            </w:r>
            <w:r>
              <w:t xml:space="preserve"> governmental body </w:t>
            </w:r>
            <w:r w:rsidR="00E3467B">
              <w:t xml:space="preserve">to </w:t>
            </w:r>
            <w:r>
              <w:t>redact</w:t>
            </w:r>
            <w:r w:rsidR="00CD6392">
              <w:t xml:space="preserve"> such</w:t>
            </w:r>
            <w:r>
              <w:t xml:space="preserve"> information from a response to a request for a list or directory of license holders, former license holders, or license applicants without the necessity of requesting an attorney general decisio</w:t>
            </w:r>
            <w:r>
              <w:t>n</w:t>
            </w:r>
            <w:r w:rsidR="00E3467B">
              <w:t>. The bill requires the OAG</w:t>
            </w:r>
            <w:r w:rsidR="00331DDE">
              <w:t xml:space="preserve">, as soon as practicable, to prepare and make </w:t>
            </w:r>
            <w:r w:rsidR="00331DDE" w:rsidRPr="00331DDE">
              <w:t>the form available on the attorney general's website and notify family violence shelter centers, victims of trafficking shelter centers</w:t>
            </w:r>
            <w:r w:rsidR="00E60C67">
              <w:t>, and</w:t>
            </w:r>
            <w:r w:rsidR="00331DDE" w:rsidRPr="00331DDE">
              <w:t xml:space="preserve"> </w:t>
            </w:r>
            <w:r w:rsidR="00E60C67" w:rsidRPr="00331DDE">
              <w:t xml:space="preserve">sexual assault programs </w:t>
            </w:r>
            <w:r w:rsidR="00331DDE" w:rsidRPr="00331DDE">
              <w:t>of the availability and purpose of the form.</w:t>
            </w:r>
          </w:p>
          <w:p w14:paraId="2771F2A5" w14:textId="77777777" w:rsidR="008423E4" w:rsidRPr="00835628" w:rsidRDefault="008423E4" w:rsidP="006A58FC">
            <w:pPr>
              <w:rPr>
                <w:b/>
              </w:rPr>
            </w:pPr>
          </w:p>
        </w:tc>
      </w:tr>
      <w:tr w:rsidR="001B2C9D" w14:paraId="58F09979" w14:textId="77777777" w:rsidTr="00345119">
        <w:tc>
          <w:tcPr>
            <w:tcW w:w="9576" w:type="dxa"/>
          </w:tcPr>
          <w:p w14:paraId="2E20DD3B" w14:textId="77777777" w:rsidR="008423E4" w:rsidRPr="00A8133F" w:rsidRDefault="00F8685B" w:rsidP="006A58F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DD3F255" w14:textId="77777777" w:rsidR="008423E4" w:rsidRDefault="008423E4" w:rsidP="006A58FC"/>
          <w:p w14:paraId="07046ED0" w14:textId="46F478CF" w:rsidR="008423E4" w:rsidRPr="003624F2" w:rsidRDefault="00F8685B" w:rsidP="006A58F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01BE36C" w14:textId="77777777" w:rsidR="008423E4" w:rsidRPr="00233FDB" w:rsidRDefault="008423E4" w:rsidP="006A58FC">
            <w:pPr>
              <w:rPr>
                <w:b/>
              </w:rPr>
            </w:pPr>
          </w:p>
        </w:tc>
      </w:tr>
      <w:tr w:rsidR="001B2C9D" w14:paraId="56130761" w14:textId="77777777" w:rsidTr="00345119">
        <w:tc>
          <w:tcPr>
            <w:tcW w:w="9576" w:type="dxa"/>
          </w:tcPr>
          <w:p w14:paraId="4978706F" w14:textId="77777777" w:rsidR="00E60C67" w:rsidRDefault="00F8685B" w:rsidP="006A58F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29EB0C5" w14:textId="77777777" w:rsidR="006B5474" w:rsidRDefault="006B5474" w:rsidP="006A58FC">
            <w:pPr>
              <w:jc w:val="both"/>
            </w:pPr>
          </w:p>
          <w:p w14:paraId="0FA8CA50" w14:textId="3C3941E1" w:rsidR="006B5474" w:rsidRPr="006B5474" w:rsidRDefault="00F8685B" w:rsidP="006A58FC">
            <w:pPr>
              <w:jc w:val="both"/>
            </w:pPr>
            <w:r>
              <w:t xml:space="preserve">While C.S.H.B. 3130 may differ from the introduced in minor or nonsubstantive ways, the following summarizes the substantial differences </w:t>
            </w:r>
            <w:r>
              <w:t>between the introduced and committee substitute versions of the bill.</w:t>
            </w:r>
          </w:p>
          <w:p w14:paraId="2E176D40" w14:textId="5A5F9E1B" w:rsidR="003F396A" w:rsidRDefault="003F396A" w:rsidP="006A58FC">
            <w:pPr>
              <w:jc w:val="both"/>
            </w:pPr>
          </w:p>
          <w:p w14:paraId="7839C2D4" w14:textId="2C283360" w:rsidR="00175B4A" w:rsidRDefault="00F8685B" w:rsidP="006A58FC">
            <w:pPr>
              <w:jc w:val="both"/>
            </w:pPr>
            <w:r>
              <w:t xml:space="preserve">Whereas </w:t>
            </w:r>
            <w:r w:rsidR="009345B6">
              <w:t xml:space="preserve">both the substitute and </w:t>
            </w:r>
            <w:r>
              <w:t>the introduced extend the confidentiality protections to current or former clients of a family violence shelter center, victims of trafficking shelter ce</w:t>
            </w:r>
            <w:r>
              <w:t xml:space="preserve">nter, or sexual assault program, the substitute </w:t>
            </w:r>
            <w:r w:rsidR="009345B6">
              <w:t xml:space="preserve">further </w:t>
            </w:r>
            <w:r>
              <w:t>extends the protections to a survivor of family violence, domestic violence, or sexual assault</w:t>
            </w:r>
            <w:r w:rsidR="00D4692B">
              <w:t>,</w:t>
            </w:r>
            <w:r w:rsidR="009345B6">
              <w:t xml:space="preserve"> but the introduced did not</w:t>
            </w:r>
            <w:r>
              <w:t xml:space="preserve">. </w:t>
            </w:r>
          </w:p>
          <w:p w14:paraId="580C08F6" w14:textId="77777777" w:rsidR="00175B4A" w:rsidRDefault="00175B4A" w:rsidP="006A58FC">
            <w:pPr>
              <w:jc w:val="both"/>
            </w:pPr>
          </w:p>
          <w:p w14:paraId="5F5EE20D" w14:textId="06CDEE9E" w:rsidR="003F396A" w:rsidRPr="003F396A" w:rsidRDefault="00F8685B" w:rsidP="006A58FC">
            <w:pPr>
              <w:jc w:val="both"/>
            </w:pPr>
            <w:r>
              <w:t>The substitute, but not the introduced,</w:t>
            </w:r>
            <w:r w:rsidR="002B43A5">
              <w:t xml:space="preserve"> requires the notification made </w:t>
            </w:r>
            <w:r w:rsidR="00D4692B">
              <w:t xml:space="preserve">on the form </w:t>
            </w:r>
            <w:r>
              <w:t xml:space="preserve">by the applicable person requesting restriction to personal identifying information </w:t>
            </w:r>
            <w:r w:rsidR="00D4692B">
              <w:t>to also indicate</w:t>
            </w:r>
            <w:r w:rsidR="006B5474">
              <w:t xml:space="preserve"> the</w:t>
            </w:r>
            <w:r w:rsidR="009345B6">
              <w:t xml:space="preserve"> person's</w:t>
            </w:r>
            <w:r w:rsidR="006B5474">
              <w:t xml:space="preserve"> statu</w:t>
            </w:r>
            <w:r w:rsidR="004D0097">
              <w:t>s as a current or former client or as a survivor, as applicable</w:t>
            </w:r>
            <w:r w:rsidR="00D4692B">
              <w:t>.</w:t>
            </w:r>
          </w:p>
        </w:tc>
      </w:tr>
      <w:tr w:rsidR="001B2C9D" w14:paraId="35ED753A" w14:textId="77777777" w:rsidTr="00345119">
        <w:tc>
          <w:tcPr>
            <w:tcW w:w="9576" w:type="dxa"/>
          </w:tcPr>
          <w:p w14:paraId="60CD100C" w14:textId="77777777" w:rsidR="00E60C67" w:rsidRPr="009C1E9A" w:rsidRDefault="00E60C67" w:rsidP="006A58FC">
            <w:pPr>
              <w:rPr>
                <w:b/>
                <w:u w:val="single"/>
              </w:rPr>
            </w:pPr>
          </w:p>
        </w:tc>
      </w:tr>
      <w:tr w:rsidR="001B2C9D" w14:paraId="0D514FF7" w14:textId="77777777" w:rsidTr="00345119">
        <w:tc>
          <w:tcPr>
            <w:tcW w:w="9576" w:type="dxa"/>
          </w:tcPr>
          <w:p w14:paraId="1303A157" w14:textId="77777777" w:rsidR="00E60C67" w:rsidRPr="00E60C67" w:rsidRDefault="00E60C67" w:rsidP="006A58FC">
            <w:pPr>
              <w:jc w:val="both"/>
            </w:pPr>
          </w:p>
        </w:tc>
      </w:tr>
    </w:tbl>
    <w:p w14:paraId="213C9EBC" w14:textId="77777777" w:rsidR="008423E4" w:rsidRPr="00BE0E75" w:rsidRDefault="008423E4" w:rsidP="006A58FC">
      <w:pPr>
        <w:jc w:val="both"/>
        <w:rPr>
          <w:rFonts w:ascii="Arial" w:hAnsi="Arial"/>
          <w:sz w:val="16"/>
          <w:szCs w:val="16"/>
        </w:rPr>
      </w:pPr>
    </w:p>
    <w:p w14:paraId="2DA25BBA" w14:textId="77777777" w:rsidR="004108C3" w:rsidRPr="008423E4" w:rsidRDefault="004108C3" w:rsidP="006A58F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722C" w14:textId="77777777" w:rsidR="00000000" w:rsidRDefault="00F8685B">
      <w:r>
        <w:separator/>
      </w:r>
    </w:p>
  </w:endnote>
  <w:endnote w:type="continuationSeparator" w:id="0">
    <w:p w14:paraId="63A8C325" w14:textId="77777777" w:rsidR="00000000" w:rsidRDefault="00F8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E52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B2C9D" w14:paraId="0318F5A0" w14:textId="77777777" w:rsidTr="009C1E9A">
      <w:trPr>
        <w:cantSplit/>
      </w:trPr>
      <w:tc>
        <w:tcPr>
          <w:tcW w:w="0" w:type="pct"/>
        </w:tcPr>
        <w:p w14:paraId="3FD3CD9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B8394A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1EA2F8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02ECAC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E26019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B2C9D" w14:paraId="0ED0D568" w14:textId="77777777" w:rsidTr="009C1E9A">
      <w:trPr>
        <w:cantSplit/>
      </w:trPr>
      <w:tc>
        <w:tcPr>
          <w:tcW w:w="0" w:type="pct"/>
        </w:tcPr>
        <w:p w14:paraId="6F93ABD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F33C068" w14:textId="76C70802" w:rsidR="00EC379B" w:rsidRPr="009C1E9A" w:rsidRDefault="00F8685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25824-D</w:t>
          </w:r>
        </w:p>
      </w:tc>
      <w:tc>
        <w:tcPr>
          <w:tcW w:w="2453" w:type="pct"/>
        </w:tcPr>
        <w:p w14:paraId="4F691ED6" w14:textId="425D60DB" w:rsidR="00EC379B" w:rsidRDefault="00F8685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017FE">
            <w:t>23.116.406</w:t>
          </w:r>
          <w:r>
            <w:fldChar w:fldCharType="end"/>
          </w:r>
        </w:p>
      </w:tc>
    </w:tr>
    <w:tr w:rsidR="001B2C9D" w14:paraId="233CBC2D" w14:textId="77777777" w:rsidTr="009C1E9A">
      <w:trPr>
        <w:cantSplit/>
      </w:trPr>
      <w:tc>
        <w:tcPr>
          <w:tcW w:w="0" w:type="pct"/>
        </w:tcPr>
        <w:p w14:paraId="7C97AC3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1B63449" w14:textId="5EFFD7B0" w:rsidR="00EC379B" w:rsidRPr="009C1E9A" w:rsidRDefault="00F8685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24763</w:t>
          </w:r>
        </w:p>
      </w:tc>
      <w:tc>
        <w:tcPr>
          <w:tcW w:w="2453" w:type="pct"/>
        </w:tcPr>
        <w:p w14:paraId="2600B5D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44D442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B2C9D" w14:paraId="328312E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C0BD7AC" w14:textId="77777777" w:rsidR="00EC379B" w:rsidRDefault="00F8685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D5DCCB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978BE8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2A1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74640" w14:textId="77777777" w:rsidR="00000000" w:rsidRDefault="00F8685B">
      <w:r>
        <w:separator/>
      </w:r>
    </w:p>
  </w:footnote>
  <w:footnote w:type="continuationSeparator" w:id="0">
    <w:p w14:paraId="4CE72100" w14:textId="77777777" w:rsidR="00000000" w:rsidRDefault="00F86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913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0B1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204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F015A"/>
    <w:multiLevelType w:val="hybridMultilevel"/>
    <w:tmpl w:val="13AE69A8"/>
    <w:lvl w:ilvl="0" w:tplc="4FD88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F822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5871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0F6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8DA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7A4B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652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4A9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3249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34765"/>
    <w:multiLevelType w:val="hybridMultilevel"/>
    <w:tmpl w:val="3C7E2942"/>
    <w:lvl w:ilvl="0" w:tplc="518A9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8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86EA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E4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A5C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5A31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C7A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A5D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B404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17D15"/>
    <w:multiLevelType w:val="hybridMultilevel"/>
    <w:tmpl w:val="706E96C0"/>
    <w:lvl w:ilvl="0" w:tplc="97DEC69E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114E4AEA" w:tentative="1">
      <w:start w:val="1"/>
      <w:numFmt w:val="lowerLetter"/>
      <w:lvlText w:val="%2."/>
      <w:lvlJc w:val="left"/>
      <w:pPr>
        <w:ind w:left="1440" w:hanging="360"/>
      </w:pPr>
    </w:lvl>
    <w:lvl w:ilvl="2" w:tplc="656A0058" w:tentative="1">
      <w:start w:val="1"/>
      <w:numFmt w:val="lowerRoman"/>
      <w:lvlText w:val="%3."/>
      <w:lvlJc w:val="right"/>
      <w:pPr>
        <w:ind w:left="2160" w:hanging="180"/>
      </w:pPr>
    </w:lvl>
    <w:lvl w:ilvl="3" w:tplc="A356BC9E" w:tentative="1">
      <w:start w:val="1"/>
      <w:numFmt w:val="decimal"/>
      <w:lvlText w:val="%4."/>
      <w:lvlJc w:val="left"/>
      <w:pPr>
        <w:ind w:left="2880" w:hanging="360"/>
      </w:pPr>
    </w:lvl>
    <w:lvl w:ilvl="4" w:tplc="7FD0AE56" w:tentative="1">
      <w:start w:val="1"/>
      <w:numFmt w:val="lowerLetter"/>
      <w:lvlText w:val="%5."/>
      <w:lvlJc w:val="left"/>
      <w:pPr>
        <w:ind w:left="3600" w:hanging="360"/>
      </w:pPr>
    </w:lvl>
    <w:lvl w:ilvl="5" w:tplc="B47EBF42" w:tentative="1">
      <w:start w:val="1"/>
      <w:numFmt w:val="lowerRoman"/>
      <w:lvlText w:val="%6."/>
      <w:lvlJc w:val="right"/>
      <w:pPr>
        <w:ind w:left="4320" w:hanging="180"/>
      </w:pPr>
    </w:lvl>
    <w:lvl w:ilvl="6" w:tplc="DDC8E920" w:tentative="1">
      <w:start w:val="1"/>
      <w:numFmt w:val="decimal"/>
      <w:lvlText w:val="%7."/>
      <w:lvlJc w:val="left"/>
      <w:pPr>
        <w:ind w:left="5040" w:hanging="360"/>
      </w:pPr>
    </w:lvl>
    <w:lvl w:ilvl="7" w:tplc="F89E634A" w:tentative="1">
      <w:start w:val="1"/>
      <w:numFmt w:val="lowerLetter"/>
      <w:lvlText w:val="%8."/>
      <w:lvlJc w:val="left"/>
      <w:pPr>
        <w:ind w:left="5760" w:hanging="360"/>
      </w:pPr>
    </w:lvl>
    <w:lvl w:ilvl="8" w:tplc="6252469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2108">
    <w:abstractNumId w:val="1"/>
  </w:num>
  <w:num w:numId="2" w16cid:durableId="550380604">
    <w:abstractNumId w:val="2"/>
  </w:num>
  <w:num w:numId="3" w16cid:durableId="122286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0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0DBD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6383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5B4A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2C9D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43A5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76F4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7D06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1DDE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5842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1EFD"/>
    <w:rsid w:val="003D726D"/>
    <w:rsid w:val="003E0875"/>
    <w:rsid w:val="003E0BB8"/>
    <w:rsid w:val="003E6CB0"/>
    <w:rsid w:val="003F1F5E"/>
    <w:rsid w:val="003F286A"/>
    <w:rsid w:val="003F396A"/>
    <w:rsid w:val="003F77F8"/>
    <w:rsid w:val="00400ACD"/>
    <w:rsid w:val="00403B15"/>
    <w:rsid w:val="00403E8A"/>
    <w:rsid w:val="00406655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510A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0097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58FC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74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C50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18D4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5703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5B6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88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B7643"/>
    <w:rsid w:val="00AC2E9A"/>
    <w:rsid w:val="00AC5AAB"/>
    <w:rsid w:val="00AC5AEC"/>
    <w:rsid w:val="00AC5F28"/>
    <w:rsid w:val="00AC6900"/>
    <w:rsid w:val="00AD304B"/>
    <w:rsid w:val="00AD4497"/>
    <w:rsid w:val="00AD44B6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17FE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403B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6392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3B71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692B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5824"/>
    <w:rsid w:val="00DE618B"/>
    <w:rsid w:val="00DE6EC2"/>
    <w:rsid w:val="00DF0834"/>
    <w:rsid w:val="00DF0873"/>
    <w:rsid w:val="00DF2707"/>
    <w:rsid w:val="00DF4D90"/>
    <w:rsid w:val="00DF5EBD"/>
    <w:rsid w:val="00DF6413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3E1D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7B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C67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685B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6136FA-EF86-4FAA-A7A5-B71D02A5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31D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1D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1DD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1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1DDE"/>
    <w:rPr>
      <w:b/>
      <w:bCs/>
    </w:rPr>
  </w:style>
  <w:style w:type="paragraph" w:styleId="Revision">
    <w:name w:val="Revision"/>
    <w:hidden/>
    <w:uiPriority w:val="99"/>
    <w:semiHidden/>
    <w:rsid w:val="00AB76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2882</Characters>
  <Application>Microsoft Office Word</Application>
  <DocSecurity>4</DocSecurity>
  <Lines>78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HB03130 (Committee Report (Substituted))</vt:lpstr>
    </vt:vector>
  </TitlesOfParts>
  <Company>State of Texas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25824</dc:subject>
  <dc:creator>State of Texas</dc:creator>
  <dc:description>HB 3130 by Guerra-(H)State Affairs (Substitute Document Number: 88R 24763)</dc:description>
  <cp:lastModifiedBy>Stacey Nicchio</cp:lastModifiedBy>
  <cp:revision>2</cp:revision>
  <cp:lastPrinted>2003-11-26T17:21:00Z</cp:lastPrinted>
  <dcterms:created xsi:type="dcterms:W3CDTF">2023-05-01T17:47:00Z</dcterms:created>
  <dcterms:modified xsi:type="dcterms:W3CDTF">2023-05-01T17:47:00Z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23.116.406</vt:lpwstr>
  </property>
</Properties>
</file>