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0BEE" w14:paraId="677BD901" w14:textId="77777777" w:rsidTr="00345119">
        <w:tc>
          <w:tcPr>
            <w:tcW w:w="9576" w:type="dxa"/>
            <w:noWrap/>
          </w:tcPr>
          <w:p w14:paraId="3C50167F" w14:textId="77777777" w:rsidR="008423E4" w:rsidRPr="0022177D" w:rsidRDefault="00331FA0" w:rsidP="00ED092A">
            <w:pPr>
              <w:pStyle w:val="Heading1"/>
            </w:pPr>
            <w:r w:rsidRPr="00631897">
              <w:t>BILL ANALYSIS</w:t>
            </w:r>
          </w:p>
        </w:tc>
      </w:tr>
    </w:tbl>
    <w:p w14:paraId="1540F786" w14:textId="77777777" w:rsidR="008423E4" w:rsidRPr="0022177D" w:rsidRDefault="008423E4" w:rsidP="00ED092A">
      <w:pPr>
        <w:jc w:val="center"/>
      </w:pPr>
    </w:p>
    <w:p w14:paraId="78648254" w14:textId="77777777" w:rsidR="008423E4" w:rsidRPr="00B31F0E" w:rsidRDefault="008423E4" w:rsidP="00ED092A"/>
    <w:p w14:paraId="42E8C8A0" w14:textId="77777777" w:rsidR="008423E4" w:rsidRPr="00742794" w:rsidRDefault="008423E4" w:rsidP="00ED092A">
      <w:pPr>
        <w:tabs>
          <w:tab w:val="right" w:pos="9360"/>
        </w:tabs>
      </w:pPr>
    </w:p>
    <w:tbl>
      <w:tblPr>
        <w:tblW w:w="0" w:type="auto"/>
        <w:tblLayout w:type="fixed"/>
        <w:tblLook w:val="01E0" w:firstRow="1" w:lastRow="1" w:firstColumn="1" w:lastColumn="1" w:noHBand="0" w:noVBand="0"/>
      </w:tblPr>
      <w:tblGrid>
        <w:gridCol w:w="9576"/>
      </w:tblGrid>
      <w:tr w:rsidR="00A80BEE" w14:paraId="0C4E7906" w14:textId="77777777" w:rsidTr="00345119">
        <w:tc>
          <w:tcPr>
            <w:tcW w:w="9576" w:type="dxa"/>
          </w:tcPr>
          <w:p w14:paraId="7765828E" w14:textId="7FF12D10" w:rsidR="008423E4" w:rsidRPr="00861995" w:rsidRDefault="00331FA0" w:rsidP="00ED092A">
            <w:pPr>
              <w:jc w:val="right"/>
            </w:pPr>
            <w:r>
              <w:t>C.S.H.B. 3136</w:t>
            </w:r>
          </w:p>
        </w:tc>
      </w:tr>
      <w:tr w:rsidR="00A80BEE" w14:paraId="56D7F102" w14:textId="77777777" w:rsidTr="00345119">
        <w:tc>
          <w:tcPr>
            <w:tcW w:w="9576" w:type="dxa"/>
          </w:tcPr>
          <w:p w14:paraId="3985A356" w14:textId="46AFB900" w:rsidR="008423E4" w:rsidRPr="00861995" w:rsidRDefault="00331FA0" w:rsidP="00ED092A">
            <w:pPr>
              <w:jc w:val="right"/>
            </w:pPr>
            <w:r>
              <w:t xml:space="preserve">By: </w:t>
            </w:r>
            <w:r w:rsidR="00CE5140">
              <w:t>Campos</w:t>
            </w:r>
          </w:p>
        </w:tc>
      </w:tr>
      <w:tr w:rsidR="00A80BEE" w14:paraId="4FFABCD8" w14:textId="77777777" w:rsidTr="00345119">
        <w:tc>
          <w:tcPr>
            <w:tcW w:w="9576" w:type="dxa"/>
          </w:tcPr>
          <w:p w14:paraId="3545C09B" w14:textId="02D20074" w:rsidR="008423E4" w:rsidRPr="00861995" w:rsidRDefault="00331FA0" w:rsidP="00ED092A">
            <w:pPr>
              <w:jc w:val="right"/>
            </w:pPr>
            <w:r>
              <w:t>Urban Affairs</w:t>
            </w:r>
          </w:p>
        </w:tc>
      </w:tr>
      <w:tr w:rsidR="00A80BEE" w14:paraId="5F3488B6" w14:textId="77777777" w:rsidTr="00345119">
        <w:tc>
          <w:tcPr>
            <w:tcW w:w="9576" w:type="dxa"/>
          </w:tcPr>
          <w:p w14:paraId="612B8FB2" w14:textId="3B648913" w:rsidR="008423E4" w:rsidRDefault="00331FA0" w:rsidP="00ED092A">
            <w:pPr>
              <w:jc w:val="right"/>
            </w:pPr>
            <w:r>
              <w:t>Committee Report (Substituted)</w:t>
            </w:r>
          </w:p>
        </w:tc>
      </w:tr>
    </w:tbl>
    <w:p w14:paraId="7D6DA147" w14:textId="77777777" w:rsidR="008423E4" w:rsidRDefault="008423E4" w:rsidP="00ED092A">
      <w:pPr>
        <w:tabs>
          <w:tab w:val="right" w:pos="9360"/>
        </w:tabs>
      </w:pPr>
    </w:p>
    <w:p w14:paraId="71D127F6" w14:textId="77777777" w:rsidR="008423E4" w:rsidRDefault="008423E4" w:rsidP="00ED092A"/>
    <w:p w14:paraId="7FF6FC47" w14:textId="77777777" w:rsidR="008423E4" w:rsidRDefault="008423E4" w:rsidP="00ED092A"/>
    <w:tbl>
      <w:tblPr>
        <w:tblW w:w="9475" w:type="dxa"/>
        <w:tblCellMar>
          <w:left w:w="115" w:type="dxa"/>
          <w:right w:w="115" w:type="dxa"/>
        </w:tblCellMar>
        <w:tblLook w:val="01E0" w:firstRow="1" w:lastRow="1" w:firstColumn="1" w:lastColumn="1" w:noHBand="0" w:noVBand="0"/>
      </w:tblPr>
      <w:tblGrid>
        <w:gridCol w:w="9475"/>
      </w:tblGrid>
      <w:tr w:rsidR="00A80BEE" w14:paraId="4D006715" w14:textId="77777777" w:rsidTr="00731274">
        <w:tc>
          <w:tcPr>
            <w:tcW w:w="9475" w:type="dxa"/>
          </w:tcPr>
          <w:p w14:paraId="41392FFF" w14:textId="77777777" w:rsidR="008423E4" w:rsidRPr="00A8133F" w:rsidRDefault="00331FA0" w:rsidP="00ED092A">
            <w:pPr>
              <w:rPr>
                <w:b/>
              </w:rPr>
            </w:pPr>
            <w:r w:rsidRPr="009C1E9A">
              <w:rPr>
                <w:b/>
                <w:u w:val="single"/>
              </w:rPr>
              <w:t>BACKGROUND AND PURPOSE</w:t>
            </w:r>
            <w:r>
              <w:rPr>
                <w:b/>
              </w:rPr>
              <w:t xml:space="preserve"> </w:t>
            </w:r>
          </w:p>
          <w:p w14:paraId="49F31B62" w14:textId="77777777" w:rsidR="008423E4" w:rsidRDefault="008423E4" w:rsidP="00ED092A"/>
          <w:p w14:paraId="53FFD038" w14:textId="4787B6F5" w:rsidR="008423E4" w:rsidRDefault="00331FA0" w:rsidP="00ED092A">
            <w:pPr>
              <w:pStyle w:val="Header"/>
              <w:tabs>
                <w:tab w:val="clear" w:pos="4320"/>
                <w:tab w:val="clear" w:pos="8640"/>
              </w:tabs>
              <w:jc w:val="both"/>
            </w:pPr>
            <w:r w:rsidRPr="007537BC">
              <w:t>Developers claim that the Texas Department of Housing and Community Affairs</w:t>
            </w:r>
            <w:r w:rsidR="0074130E">
              <w:t xml:space="preserve"> (TDHCA)</w:t>
            </w:r>
            <w:r w:rsidRPr="007537BC">
              <w:t xml:space="preserve"> intentionally delays</w:t>
            </w:r>
            <w:r w:rsidR="00E327A5">
              <w:t xml:space="preserve"> </w:t>
            </w:r>
            <w:r w:rsidRPr="007537BC">
              <w:t xml:space="preserve">the issuance of IRS Form 8609 </w:t>
            </w:r>
            <w:r w:rsidR="00E327A5">
              <w:t>for the allocation of low income housing tax credits</w:t>
            </w:r>
            <w:r w:rsidRPr="007537BC">
              <w:t>. Instead of delivering this coveted document within a reasonable amount of time, the practice at TDHC</w:t>
            </w:r>
            <w:r w:rsidR="0074130E">
              <w:t>A</w:t>
            </w:r>
            <w:r w:rsidRPr="007537BC">
              <w:t xml:space="preserve"> is to withhold </w:t>
            </w:r>
            <w:r w:rsidR="00E725BA">
              <w:t xml:space="preserve">its </w:t>
            </w:r>
            <w:r w:rsidRPr="007537BC">
              <w:t xml:space="preserve">issuance until the </w:t>
            </w:r>
            <w:r w:rsidR="0074130E">
              <w:t>completion of</w:t>
            </w:r>
            <w:r w:rsidRPr="007537BC">
              <w:t xml:space="preserve"> a "cost certificat</w:t>
            </w:r>
            <w:r w:rsidRPr="007537BC">
              <w:t>ion" process</w:t>
            </w:r>
            <w:r w:rsidR="0074130E">
              <w:t xml:space="preserve"> that</w:t>
            </w:r>
            <w:r w:rsidRPr="007537BC">
              <w:t xml:space="preserve"> can drag on for months</w:t>
            </w:r>
            <w:r w:rsidR="0074130E">
              <w:t>,</w:t>
            </w:r>
            <w:r w:rsidRPr="007537BC">
              <w:t xml:space="preserve"> </w:t>
            </w:r>
            <w:r w:rsidR="0074130E">
              <w:t>or</w:t>
            </w:r>
            <w:r w:rsidR="00E725BA">
              <w:t xml:space="preserve">, </w:t>
            </w:r>
            <w:r w:rsidR="00F71244">
              <w:t xml:space="preserve">too </w:t>
            </w:r>
            <w:r w:rsidR="00E725BA">
              <w:t xml:space="preserve">often, </w:t>
            </w:r>
            <w:r w:rsidRPr="007537BC">
              <w:t xml:space="preserve">years. Using </w:t>
            </w:r>
            <w:r w:rsidR="00E725BA">
              <w:t>this form</w:t>
            </w:r>
            <w:r w:rsidRPr="007537BC">
              <w:t xml:space="preserve"> as leverage to complete cost certification has </w:t>
            </w:r>
            <w:r w:rsidR="0074130E">
              <w:t>needlessly delayed</w:t>
            </w:r>
            <w:r w:rsidRPr="007537BC">
              <w:t xml:space="preserve"> owners and investors in filing complete </w:t>
            </w:r>
            <w:r w:rsidR="0074130E">
              <w:t xml:space="preserve">and </w:t>
            </w:r>
            <w:r w:rsidRPr="007537BC">
              <w:t>timely federal tax returns.</w:t>
            </w:r>
            <w:r>
              <w:t xml:space="preserve"> </w:t>
            </w:r>
            <w:r w:rsidRPr="007537BC">
              <w:t xml:space="preserve">Development owners and their partners </w:t>
            </w:r>
            <w:r w:rsidRPr="007537BC">
              <w:t xml:space="preserve">should not be subjected to extended cost certifications that hold the issuance of </w:t>
            </w:r>
            <w:r w:rsidR="005207B6">
              <w:t>Form</w:t>
            </w:r>
            <w:r w:rsidR="005207B6" w:rsidRPr="007537BC">
              <w:t xml:space="preserve"> </w:t>
            </w:r>
            <w:r w:rsidRPr="007537BC">
              <w:t xml:space="preserve">8609 hostage. </w:t>
            </w:r>
            <w:r w:rsidR="005207B6">
              <w:t>C.S.H.B.</w:t>
            </w:r>
            <w:r w:rsidR="00B939B5">
              <w:t> </w:t>
            </w:r>
            <w:r w:rsidR="005207B6">
              <w:t xml:space="preserve">3136 seeks to </w:t>
            </w:r>
            <w:r w:rsidR="00E725BA">
              <w:t>accelerate this process by providing for a Form</w:t>
            </w:r>
            <w:r w:rsidRPr="007537BC">
              <w:t xml:space="preserve"> 8609</w:t>
            </w:r>
            <w:r w:rsidR="00E725BA">
              <w:t xml:space="preserve"> to be issued by TDHCA</w:t>
            </w:r>
            <w:r w:rsidRPr="007537BC">
              <w:t xml:space="preserve"> no</w:t>
            </w:r>
            <w:r w:rsidR="00E725BA">
              <w:t>t</w:t>
            </w:r>
            <w:r w:rsidRPr="007537BC">
              <w:t xml:space="preserve"> later than the </w:t>
            </w:r>
            <w:r w:rsidR="00266DD6">
              <w:t>120</w:t>
            </w:r>
            <w:r w:rsidRPr="007537BC">
              <w:t xml:space="preserve">th day after the date the development owner submits </w:t>
            </w:r>
            <w:r w:rsidR="00E725BA">
              <w:t>the requisite documentation</w:t>
            </w:r>
            <w:r w:rsidRPr="007537BC">
              <w:t xml:space="preserve">. </w:t>
            </w:r>
          </w:p>
          <w:p w14:paraId="3B3DCD79" w14:textId="1CD5E005" w:rsidR="00D90E1C" w:rsidRPr="00E26B13" w:rsidRDefault="00D90E1C" w:rsidP="00ED092A">
            <w:pPr>
              <w:pStyle w:val="Header"/>
              <w:tabs>
                <w:tab w:val="clear" w:pos="4320"/>
                <w:tab w:val="clear" w:pos="8640"/>
              </w:tabs>
              <w:jc w:val="both"/>
              <w:rPr>
                <w:b/>
              </w:rPr>
            </w:pPr>
          </w:p>
        </w:tc>
      </w:tr>
      <w:tr w:rsidR="00A80BEE" w14:paraId="6A1EF1DB" w14:textId="77777777" w:rsidTr="00731274">
        <w:tc>
          <w:tcPr>
            <w:tcW w:w="9475" w:type="dxa"/>
          </w:tcPr>
          <w:p w14:paraId="237F7F73" w14:textId="77777777" w:rsidR="0017725B" w:rsidRDefault="00331FA0" w:rsidP="00ED092A">
            <w:pPr>
              <w:rPr>
                <w:b/>
                <w:u w:val="single"/>
              </w:rPr>
            </w:pPr>
            <w:r>
              <w:rPr>
                <w:b/>
                <w:u w:val="single"/>
              </w:rPr>
              <w:t>CRIMINAL JUSTICE IMPACT</w:t>
            </w:r>
          </w:p>
          <w:p w14:paraId="6D492B0D" w14:textId="77777777" w:rsidR="0017725B" w:rsidRDefault="0017725B" w:rsidP="00ED092A">
            <w:pPr>
              <w:rPr>
                <w:b/>
                <w:u w:val="single"/>
              </w:rPr>
            </w:pPr>
          </w:p>
          <w:p w14:paraId="736662FE" w14:textId="39F0A741" w:rsidR="002B011C" w:rsidRPr="002B011C" w:rsidRDefault="00331FA0" w:rsidP="00ED092A">
            <w:pPr>
              <w:jc w:val="both"/>
            </w:pPr>
            <w:r>
              <w:t>It is the committee's opinion that this bill does not expressly create a criminal offense, increase the punishment for an existing criminal offense</w:t>
            </w:r>
            <w:r>
              <w:t xml:space="preserve"> or category of offenses, or change the eligibility of a person for community supervision, parole, or mandatory supervision.</w:t>
            </w:r>
          </w:p>
          <w:p w14:paraId="0F37C8CC" w14:textId="77777777" w:rsidR="0017725B" w:rsidRPr="0017725B" w:rsidRDefault="0017725B" w:rsidP="00ED092A">
            <w:pPr>
              <w:rPr>
                <w:b/>
                <w:u w:val="single"/>
              </w:rPr>
            </w:pPr>
          </w:p>
        </w:tc>
      </w:tr>
      <w:tr w:rsidR="00A80BEE" w14:paraId="0330F68B" w14:textId="77777777" w:rsidTr="00731274">
        <w:tc>
          <w:tcPr>
            <w:tcW w:w="9475" w:type="dxa"/>
          </w:tcPr>
          <w:p w14:paraId="40313DCB" w14:textId="77777777" w:rsidR="008423E4" w:rsidRPr="00A8133F" w:rsidRDefault="00331FA0" w:rsidP="00ED092A">
            <w:pPr>
              <w:rPr>
                <w:b/>
              </w:rPr>
            </w:pPr>
            <w:r w:rsidRPr="009C1E9A">
              <w:rPr>
                <w:b/>
                <w:u w:val="single"/>
              </w:rPr>
              <w:t>RULEMAKING AUTHORITY</w:t>
            </w:r>
            <w:r>
              <w:rPr>
                <w:b/>
              </w:rPr>
              <w:t xml:space="preserve"> </w:t>
            </w:r>
          </w:p>
          <w:p w14:paraId="3C1C696A" w14:textId="77777777" w:rsidR="008423E4" w:rsidRDefault="008423E4" w:rsidP="00ED092A"/>
          <w:p w14:paraId="29CC6744" w14:textId="0E2E7ABB" w:rsidR="002B011C" w:rsidRDefault="00331FA0" w:rsidP="00ED092A">
            <w:pPr>
              <w:pStyle w:val="Header"/>
              <w:tabs>
                <w:tab w:val="clear" w:pos="4320"/>
                <w:tab w:val="clear" w:pos="8640"/>
              </w:tabs>
              <w:jc w:val="both"/>
            </w:pPr>
            <w:r>
              <w:t>It is the committee's opinion that rulemaking authority is expressly granted to the Texas Department of Ho</w:t>
            </w:r>
            <w:r>
              <w:t>using and Community Affairs in SECTION 1 of this bill.</w:t>
            </w:r>
          </w:p>
          <w:p w14:paraId="3CBB9431" w14:textId="77777777" w:rsidR="008423E4" w:rsidRPr="00E21FDC" w:rsidRDefault="008423E4" w:rsidP="00ED092A">
            <w:pPr>
              <w:rPr>
                <w:b/>
              </w:rPr>
            </w:pPr>
          </w:p>
        </w:tc>
      </w:tr>
      <w:tr w:rsidR="00A80BEE" w14:paraId="74FF7C00" w14:textId="77777777" w:rsidTr="00731274">
        <w:tc>
          <w:tcPr>
            <w:tcW w:w="9475" w:type="dxa"/>
          </w:tcPr>
          <w:p w14:paraId="086EE4B4" w14:textId="77777777" w:rsidR="008423E4" w:rsidRPr="00A8133F" w:rsidRDefault="00331FA0" w:rsidP="00ED092A">
            <w:pPr>
              <w:rPr>
                <w:b/>
              </w:rPr>
            </w:pPr>
            <w:r w:rsidRPr="009C1E9A">
              <w:rPr>
                <w:b/>
                <w:u w:val="single"/>
              </w:rPr>
              <w:t>ANALYSIS</w:t>
            </w:r>
            <w:r>
              <w:rPr>
                <w:b/>
              </w:rPr>
              <w:t xml:space="preserve"> </w:t>
            </w:r>
          </w:p>
          <w:p w14:paraId="21487555" w14:textId="77777777" w:rsidR="008423E4" w:rsidRDefault="008423E4" w:rsidP="00ED092A"/>
          <w:p w14:paraId="5F7325FA" w14:textId="1891951F" w:rsidR="00060F67" w:rsidRDefault="00331FA0" w:rsidP="00ED092A">
            <w:pPr>
              <w:pStyle w:val="Header"/>
              <w:tabs>
                <w:tab w:val="clear" w:pos="4320"/>
                <w:tab w:val="clear" w:pos="8640"/>
              </w:tabs>
              <w:jc w:val="both"/>
            </w:pPr>
            <w:r>
              <w:t>C.S.H.B. 3136 amends the Government Code t</w:t>
            </w:r>
            <w:r w:rsidR="005654BA">
              <w:t>o require the Texas Department of Housing and Community Affairs</w:t>
            </w:r>
            <w:r w:rsidR="0011789B">
              <w:t xml:space="preserve"> (TDHCA)</w:t>
            </w:r>
            <w:r w:rsidR="00522D3F">
              <w:t xml:space="preserve"> </w:t>
            </w:r>
            <w:r w:rsidR="004C161B">
              <w:t xml:space="preserve">to </w:t>
            </w:r>
            <w:r w:rsidR="00522D3F">
              <w:t>issue a</w:t>
            </w:r>
            <w:r w:rsidR="00F71244">
              <w:t>n Internal Revenue Service</w:t>
            </w:r>
            <w:r w:rsidR="00522D3F">
              <w:t xml:space="preserve"> Form 8609 to a person </w:t>
            </w:r>
            <w:r w:rsidR="00163780">
              <w:t xml:space="preserve">or their affiliate who owns or proposes a qualified low income housing project </w:t>
            </w:r>
            <w:r w:rsidR="00522D3F">
              <w:t xml:space="preserve">not later than the </w:t>
            </w:r>
            <w:r w:rsidR="005F4EAC">
              <w:t>120</w:t>
            </w:r>
            <w:r w:rsidR="00522D3F">
              <w:t xml:space="preserve">th day after the date </w:t>
            </w:r>
            <w:r w:rsidR="00163780">
              <w:t>the person</w:t>
            </w:r>
            <w:r w:rsidR="00522D3F">
              <w:t xml:space="preserve"> submits to TDHCA </w:t>
            </w:r>
            <w:r w:rsidR="00163780">
              <w:t>the</w:t>
            </w:r>
            <w:r w:rsidR="00522D3F">
              <w:t xml:space="preserve"> documentation packet</w:t>
            </w:r>
            <w:r w:rsidR="00163780">
              <w:t xml:space="preserve"> required to </w:t>
            </w:r>
            <w:r w:rsidR="008507AE">
              <w:t>receive an allocation of low income housing tax credits</w:t>
            </w:r>
            <w:r>
              <w:t>.</w:t>
            </w:r>
            <w:r w:rsidR="00A44E91">
              <w:t xml:space="preserve"> </w:t>
            </w:r>
            <w:r>
              <w:t xml:space="preserve">A documentation packet </w:t>
            </w:r>
            <w:r w:rsidR="00522D3F">
              <w:t>consist</w:t>
            </w:r>
            <w:r w:rsidR="00F71244">
              <w:t>s</w:t>
            </w:r>
            <w:r w:rsidR="00522D3F">
              <w:t xml:space="preserve"> only</w:t>
            </w:r>
            <w:r w:rsidR="00EA17F9">
              <w:t xml:space="preserve"> </w:t>
            </w:r>
            <w:r w:rsidR="00F71244">
              <w:t xml:space="preserve">of </w:t>
            </w:r>
            <w:r w:rsidR="00774726">
              <w:t>the following</w:t>
            </w:r>
            <w:r>
              <w:t>:</w:t>
            </w:r>
          </w:p>
          <w:p w14:paraId="0E83201A" w14:textId="1096E3DA" w:rsidR="00060F67" w:rsidRDefault="00331FA0" w:rsidP="00ED092A">
            <w:pPr>
              <w:pStyle w:val="Header"/>
              <w:numPr>
                <w:ilvl w:val="0"/>
                <w:numId w:val="1"/>
              </w:numPr>
              <w:jc w:val="both"/>
            </w:pPr>
            <w:r>
              <w:t>a signed and notarized owner's statement of certification form through which the development owner certifies the accuracy of the information included in the documentation packet;</w:t>
            </w:r>
          </w:p>
          <w:p w14:paraId="7D412609" w14:textId="3F257DD4" w:rsidR="00060F67" w:rsidRDefault="00331FA0" w:rsidP="00ED092A">
            <w:pPr>
              <w:pStyle w:val="Header"/>
              <w:numPr>
                <w:ilvl w:val="0"/>
                <w:numId w:val="1"/>
              </w:numPr>
              <w:jc w:val="both"/>
            </w:pPr>
            <w:r>
              <w:t xml:space="preserve">an </w:t>
            </w:r>
            <w:r>
              <w:t>owner's summary form that includes:</w:t>
            </w:r>
          </w:p>
          <w:p w14:paraId="5D528C99" w14:textId="1C52C5AB" w:rsidR="00060F67" w:rsidRDefault="00331FA0" w:rsidP="00ED092A">
            <w:pPr>
              <w:pStyle w:val="Header"/>
              <w:numPr>
                <w:ilvl w:val="1"/>
                <w:numId w:val="1"/>
              </w:numPr>
              <w:jc w:val="both"/>
            </w:pPr>
            <w:r>
              <w:t>the taxpayer identification number of the development owner; and</w:t>
            </w:r>
          </w:p>
          <w:p w14:paraId="7292CF3D" w14:textId="129B54E7" w:rsidR="00060F67" w:rsidRDefault="00331FA0" w:rsidP="00ED092A">
            <w:pPr>
              <w:pStyle w:val="Header"/>
              <w:numPr>
                <w:ilvl w:val="1"/>
                <w:numId w:val="1"/>
              </w:numPr>
              <w:jc w:val="both"/>
            </w:pPr>
            <w:r>
              <w:t>information on the ownership structure of the development owner, the developer, or the development guarantor;</w:t>
            </w:r>
          </w:p>
          <w:p w14:paraId="0361CA4D" w14:textId="71651A97" w:rsidR="00060F67" w:rsidRDefault="00331FA0" w:rsidP="00ED092A">
            <w:pPr>
              <w:pStyle w:val="Header"/>
              <w:numPr>
                <w:ilvl w:val="0"/>
                <w:numId w:val="1"/>
              </w:numPr>
              <w:jc w:val="both"/>
            </w:pPr>
            <w:r>
              <w:t>a development cost schedule for the developme</w:t>
            </w:r>
            <w:r>
              <w:t>nt;</w:t>
            </w:r>
          </w:p>
          <w:p w14:paraId="5C19BE37" w14:textId="77F381C2" w:rsidR="00060F67" w:rsidRDefault="00331FA0" w:rsidP="00ED092A">
            <w:pPr>
              <w:pStyle w:val="Header"/>
              <w:numPr>
                <w:ilvl w:val="0"/>
                <w:numId w:val="1"/>
              </w:numPr>
              <w:jc w:val="both"/>
            </w:pPr>
            <w:r>
              <w:t>an independent auditor's report of the total development cost and eligible basis of the development through which the auditor certifies that the audit was conducted according to generally accepted auditing standards</w:t>
            </w:r>
            <w:r w:rsidR="001B1FB3">
              <w:t xml:space="preserve">, which includes </w:t>
            </w:r>
            <w:r w:rsidR="00F71244">
              <w:t>an examination of evidence supporting the amounts and disclosures outlined in the cost certification, an assessment of the accounting principles used and significant estimates made by the development owner</w:t>
            </w:r>
            <w:r w:rsidR="001B1FB3">
              <w:t xml:space="preserve">, </w:t>
            </w:r>
            <w:r w:rsidR="00F71244">
              <w:t>and</w:t>
            </w:r>
            <w:r w:rsidR="001B1FB3">
              <w:t xml:space="preserve"> </w:t>
            </w:r>
            <w:r w:rsidR="00F71244">
              <w:t>an overall cost certification evaluation and establishment of the total eligible basis</w:t>
            </w:r>
            <w:r w:rsidR="00B40AAA">
              <w:t>;</w:t>
            </w:r>
          </w:p>
          <w:p w14:paraId="0C51E79A" w14:textId="7920EBA5" w:rsidR="005F4EAC" w:rsidRDefault="00331FA0" w:rsidP="00ED092A">
            <w:pPr>
              <w:pStyle w:val="Header"/>
              <w:numPr>
                <w:ilvl w:val="0"/>
                <w:numId w:val="1"/>
              </w:numPr>
              <w:jc w:val="both"/>
            </w:pPr>
            <w:r>
              <w:t>an independent auditor's report of bond financing through which the auditor certifies the percentage of the development's aggregate basis financed by tax-exempt bonds;</w:t>
            </w:r>
          </w:p>
          <w:p w14:paraId="514CCAE5" w14:textId="4917B6EF" w:rsidR="00060F67" w:rsidRDefault="00331FA0" w:rsidP="00ED092A">
            <w:pPr>
              <w:pStyle w:val="Header"/>
              <w:numPr>
                <w:ilvl w:val="0"/>
                <w:numId w:val="1"/>
              </w:numPr>
              <w:jc w:val="both"/>
            </w:pPr>
            <w:r>
              <w:t>a complete copy of the executed carryover allocation agreement is</w:t>
            </w:r>
            <w:r>
              <w:t>sued to the development owner by</w:t>
            </w:r>
            <w:r w:rsidR="00A44E91">
              <w:t xml:space="preserve"> TDHCA</w:t>
            </w:r>
            <w:r>
              <w:t>;</w:t>
            </w:r>
          </w:p>
          <w:p w14:paraId="39A5CA91" w14:textId="685B3C7B" w:rsidR="00060F67" w:rsidRDefault="00331FA0" w:rsidP="00ED092A">
            <w:pPr>
              <w:pStyle w:val="Header"/>
              <w:numPr>
                <w:ilvl w:val="0"/>
                <w:numId w:val="1"/>
              </w:numPr>
              <w:jc w:val="both"/>
            </w:pPr>
            <w:r>
              <w:t>for a development that was awarded points for demonstrating nonprofit participation under the sponsor characteristics of the application, documentation evidencing the nonprofit participation;</w:t>
            </w:r>
          </w:p>
          <w:p w14:paraId="79184A8F" w14:textId="6873138B" w:rsidR="00060F67" w:rsidRDefault="00331FA0" w:rsidP="00ED092A">
            <w:pPr>
              <w:pStyle w:val="Header"/>
              <w:numPr>
                <w:ilvl w:val="0"/>
                <w:numId w:val="1"/>
              </w:numPr>
              <w:jc w:val="both"/>
            </w:pPr>
            <w:r>
              <w:t>a placement in service f</w:t>
            </w:r>
            <w:r>
              <w:t>orm that contains summarized information for the development on a building-by-building basis;</w:t>
            </w:r>
          </w:p>
          <w:p w14:paraId="7B8C63F9" w14:textId="11B3516C" w:rsidR="00060F67" w:rsidRDefault="00331FA0" w:rsidP="00ED092A">
            <w:pPr>
              <w:pStyle w:val="Header"/>
              <w:numPr>
                <w:ilvl w:val="0"/>
                <w:numId w:val="1"/>
              </w:numPr>
              <w:jc w:val="both"/>
            </w:pPr>
            <w:r>
              <w:t xml:space="preserve">a </w:t>
            </w:r>
            <w:r w:rsidR="001B1FB3">
              <w:t xml:space="preserve">permission to occupy form and either an </w:t>
            </w:r>
            <w:r>
              <w:t>architect cert</w:t>
            </w:r>
            <w:r w:rsidR="00A44E91">
              <w:t>i</w:t>
            </w:r>
            <w:r>
              <w:t>fication o</w:t>
            </w:r>
            <w:r w:rsidR="00522D3F">
              <w:t>r substantial</w:t>
            </w:r>
            <w:r>
              <w:t xml:space="preserve"> completion </w:t>
            </w:r>
            <w:r w:rsidR="00522D3F">
              <w:t>form</w:t>
            </w:r>
            <w:r w:rsidR="001B1FB3">
              <w:t xml:space="preserve"> that are appropriately completed and signed</w:t>
            </w:r>
            <w:r w:rsidR="00B40AAA">
              <w:t xml:space="preserve">; </w:t>
            </w:r>
          </w:p>
          <w:p w14:paraId="4FCE79DE" w14:textId="77777777" w:rsidR="00003A4D" w:rsidRDefault="00331FA0" w:rsidP="00ED092A">
            <w:pPr>
              <w:pStyle w:val="Header"/>
              <w:numPr>
                <w:ilvl w:val="0"/>
                <w:numId w:val="1"/>
              </w:numPr>
              <w:jc w:val="both"/>
            </w:pPr>
            <w:r>
              <w:t xml:space="preserve">a complete copy of </w:t>
            </w:r>
            <w:r>
              <w:t>the executed and recorded land use restriction agreement for the development;</w:t>
            </w:r>
          </w:p>
          <w:p w14:paraId="6B52A238" w14:textId="40A254A3" w:rsidR="00003A4D" w:rsidRDefault="00331FA0" w:rsidP="00ED092A">
            <w:pPr>
              <w:pStyle w:val="Header"/>
              <w:numPr>
                <w:ilvl w:val="0"/>
                <w:numId w:val="1"/>
              </w:numPr>
              <w:jc w:val="both"/>
            </w:pPr>
            <w:r>
              <w:t>a projected operating pro forma to include a rent schedule and annual operating expenses; and</w:t>
            </w:r>
          </w:p>
          <w:p w14:paraId="5134F4BA" w14:textId="4A6C5846" w:rsidR="00E66879" w:rsidRDefault="00331FA0" w:rsidP="00ED092A">
            <w:pPr>
              <w:pStyle w:val="Header"/>
              <w:numPr>
                <w:ilvl w:val="0"/>
                <w:numId w:val="1"/>
              </w:numPr>
              <w:jc w:val="both"/>
            </w:pPr>
            <w:r>
              <w:t>a summary of the sources and uses of funds for the development</w:t>
            </w:r>
            <w:r w:rsidR="00060F67">
              <w:t>.</w:t>
            </w:r>
          </w:p>
          <w:p w14:paraId="6C1EDF38" w14:textId="7766459A" w:rsidR="00E66879" w:rsidRDefault="00E66879" w:rsidP="00ED092A">
            <w:pPr>
              <w:pStyle w:val="Header"/>
              <w:jc w:val="both"/>
            </w:pPr>
          </w:p>
          <w:p w14:paraId="29891244" w14:textId="7B8A75FB" w:rsidR="00E66879" w:rsidRDefault="00331FA0" w:rsidP="00ED092A">
            <w:pPr>
              <w:pStyle w:val="Header"/>
              <w:jc w:val="both"/>
            </w:pPr>
            <w:r>
              <w:t xml:space="preserve">C.S.H.B. 3136 </w:t>
            </w:r>
            <w:r w:rsidR="001A635C">
              <w:t>requires</w:t>
            </w:r>
            <w:r>
              <w:t xml:space="preserve"> </w:t>
            </w:r>
            <w:r w:rsidR="00F33FB9">
              <w:t xml:space="preserve">certain of </w:t>
            </w:r>
            <w:r>
              <w:t>the form and contents of such documentation to be the same as those prescribed by TDHCA for the</w:t>
            </w:r>
            <w:r w:rsidR="006A682F">
              <w:t xml:space="preserve"> </w:t>
            </w:r>
            <w:r>
              <w:t xml:space="preserve">application cycle </w:t>
            </w:r>
            <w:r w:rsidR="006A682F">
              <w:t xml:space="preserve">for low income housing tax credits </w:t>
            </w:r>
            <w:r>
              <w:t>that is based on the 2022 qualified allocation plan.</w:t>
            </w:r>
          </w:p>
          <w:p w14:paraId="3E8B1329" w14:textId="77777777" w:rsidR="00A44E91" w:rsidRDefault="00A44E91" w:rsidP="00ED092A">
            <w:pPr>
              <w:pStyle w:val="Header"/>
              <w:jc w:val="both"/>
            </w:pPr>
          </w:p>
          <w:p w14:paraId="789A1B8D" w14:textId="6B1985AE" w:rsidR="00060F67" w:rsidRDefault="00331FA0" w:rsidP="00ED092A">
            <w:pPr>
              <w:pStyle w:val="Header"/>
              <w:jc w:val="both"/>
            </w:pPr>
            <w:r>
              <w:t>C.S.</w:t>
            </w:r>
            <w:r w:rsidR="00A44E91">
              <w:t xml:space="preserve">H.B. 3136 authorizes TDHCA to assess an administrative penalty against </w:t>
            </w:r>
            <w:r w:rsidR="007F2461">
              <w:t xml:space="preserve">a </w:t>
            </w:r>
            <w:r w:rsidR="00A44E91">
              <w:t>development owner i</w:t>
            </w:r>
            <w:r>
              <w:t xml:space="preserve">f </w:t>
            </w:r>
            <w:r w:rsidR="00A44E91">
              <w:t xml:space="preserve">TDHCA </w:t>
            </w:r>
            <w:r>
              <w:t xml:space="preserve">determines that </w:t>
            </w:r>
            <w:r w:rsidR="007F2461">
              <w:t>the</w:t>
            </w:r>
            <w:r>
              <w:t xml:space="preserve"> owner</w:t>
            </w:r>
            <w:r w:rsidR="007F2461">
              <w:t xml:space="preserve"> has</w:t>
            </w:r>
            <w:r>
              <w:t xml:space="preserve"> intentionally provided incorrect or inconsistent information in a </w:t>
            </w:r>
            <w:r w:rsidR="00B40AAA">
              <w:t xml:space="preserve">submitted </w:t>
            </w:r>
            <w:r>
              <w:t>documentation packet</w:t>
            </w:r>
            <w:r w:rsidR="00A44E91">
              <w:t xml:space="preserve">. </w:t>
            </w:r>
            <w:r>
              <w:t>In assessing an administrative penalty</w:t>
            </w:r>
            <w:r w:rsidR="00A44E91">
              <w:t xml:space="preserve">, TDHCA </w:t>
            </w:r>
            <w:r>
              <w:t>may</w:t>
            </w:r>
            <w:r w:rsidR="00A44E91">
              <w:t xml:space="preserve"> </w:t>
            </w:r>
            <w:r>
              <w:t xml:space="preserve">impose a </w:t>
            </w:r>
            <w:r>
              <w:t>monetary penalty</w:t>
            </w:r>
            <w:r w:rsidR="00EE50B8">
              <w:t xml:space="preserve"> against the owner</w:t>
            </w:r>
            <w:r w:rsidR="00BD4AB8">
              <w:t xml:space="preserve"> in</w:t>
            </w:r>
            <w:r w:rsidR="00EE50B8">
              <w:t xml:space="preserve"> accordance with state law </w:t>
            </w:r>
            <w:r w:rsidR="00EC71FD">
              <w:t xml:space="preserve">governing </w:t>
            </w:r>
            <w:r w:rsidR="00EE50B8">
              <w:t xml:space="preserve">administrative penalties imposed </w:t>
            </w:r>
            <w:r w:rsidR="00C32DC1">
              <w:t xml:space="preserve">by TDHCA </w:t>
            </w:r>
            <w:r w:rsidR="00A44E91">
              <w:t xml:space="preserve">or </w:t>
            </w:r>
            <w:r>
              <w:t>prohibit the owner or any person that has an ownership interest in the development, except for a tax credit purchaser or syndicator, from</w:t>
            </w:r>
            <w:r>
              <w:t xml:space="preserve"> participating in the low income housing tax credit program for a </w:t>
            </w:r>
            <w:r w:rsidR="00B40AAA">
              <w:t xml:space="preserve">maximum </w:t>
            </w:r>
            <w:r>
              <w:t>period of two years.</w:t>
            </w:r>
          </w:p>
          <w:p w14:paraId="70BF6980" w14:textId="77777777" w:rsidR="00A44E91" w:rsidRDefault="00A44E91" w:rsidP="00ED092A">
            <w:pPr>
              <w:pStyle w:val="Header"/>
              <w:jc w:val="both"/>
            </w:pPr>
          </w:p>
          <w:p w14:paraId="1E86FF31" w14:textId="641D4D91" w:rsidR="00060F67" w:rsidRDefault="00331FA0" w:rsidP="00ED092A">
            <w:pPr>
              <w:pStyle w:val="Header"/>
              <w:jc w:val="both"/>
            </w:pPr>
            <w:r>
              <w:t>C.S.</w:t>
            </w:r>
            <w:r w:rsidR="00A44E91">
              <w:t xml:space="preserve">H.B. 3136 requires </w:t>
            </w:r>
            <w:r w:rsidR="00BD4AB8">
              <w:t>TDHCA</w:t>
            </w:r>
            <w:r>
              <w:t xml:space="preserve"> </w:t>
            </w:r>
            <w:r w:rsidR="00A44E91">
              <w:t xml:space="preserve">to </w:t>
            </w:r>
            <w:r>
              <w:t xml:space="preserve">prepare and submit to the legislature a </w:t>
            </w:r>
            <w:r w:rsidR="00A44E91">
              <w:t>quarterly</w:t>
            </w:r>
            <w:r>
              <w:t xml:space="preserve"> report that includes the following information for the preceding quarter:</w:t>
            </w:r>
          </w:p>
          <w:p w14:paraId="507BD1DC" w14:textId="6CF5B305" w:rsidR="00060F67" w:rsidRDefault="00331FA0" w:rsidP="00ED092A">
            <w:pPr>
              <w:pStyle w:val="Header"/>
              <w:numPr>
                <w:ilvl w:val="0"/>
                <w:numId w:val="3"/>
              </w:numPr>
              <w:jc w:val="both"/>
            </w:pPr>
            <w:r>
              <w:t xml:space="preserve">the total number of submitted documentation packets that </w:t>
            </w:r>
            <w:r w:rsidR="00A44E91">
              <w:t xml:space="preserve">TDHCA </w:t>
            </w:r>
            <w:r>
              <w:t>is in the course of processing;</w:t>
            </w:r>
          </w:p>
          <w:p w14:paraId="65D4226F" w14:textId="75654651" w:rsidR="00060F67" w:rsidRDefault="00331FA0" w:rsidP="00ED092A">
            <w:pPr>
              <w:pStyle w:val="Header"/>
              <w:numPr>
                <w:ilvl w:val="0"/>
                <w:numId w:val="3"/>
              </w:numPr>
              <w:jc w:val="both"/>
            </w:pPr>
            <w:r>
              <w:t>the total number of Forms 8609 that TDHCA issued, aggregated by the total number issue</w:t>
            </w:r>
            <w:r>
              <w:t>d</w:t>
            </w:r>
            <w:r w:rsidR="00B52C9E">
              <w:t>, as follows:</w:t>
            </w:r>
          </w:p>
          <w:p w14:paraId="4DD9AE31" w14:textId="38B00E02" w:rsidR="00B52C9E" w:rsidRDefault="00331FA0" w:rsidP="00ED092A">
            <w:pPr>
              <w:pStyle w:val="Header"/>
              <w:numPr>
                <w:ilvl w:val="1"/>
                <w:numId w:val="3"/>
              </w:numPr>
              <w:jc w:val="both"/>
            </w:pPr>
            <w:r>
              <w:t>not later than the 120th day after the date a documentation packet was submitted;</w:t>
            </w:r>
          </w:p>
          <w:p w14:paraId="1906C5E8" w14:textId="6543CDFF" w:rsidR="00B52C9E" w:rsidRDefault="00331FA0" w:rsidP="00ED092A">
            <w:pPr>
              <w:pStyle w:val="Header"/>
              <w:numPr>
                <w:ilvl w:val="1"/>
                <w:numId w:val="3"/>
              </w:numPr>
              <w:jc w:val="both"/>
            </w:pPr>
            <w:r>
              <w:t>on or after the 121st day but before the 151st day after the date a documentation packet was submitted;</w:t>
            </w:r>
          </w:p>
          <w:p w14:paraId="2A187207" w14:textId="4533E018" w:rsidR="00B52C9E" w:rsidRDefault="00331FA0" w:rsidP="00ED092A">
            <w:pPr>
              <w:pStyle w:val="Header"/>
              <w:numPr>
                <w:ilvl w:val="1"/>
                <w:numId w:val="3"/>
              </w:numPr>
              <w:jc w:val="both"/>
            </w:pPr>
            <w:r>
              <w:t>on or after the 151st day but before the 181st day afte</w:t>
            </w:r>
            <w:r>
              <w:t>r the date a documentation packet was submitted; and</w:t>
            </w:r>
          </w:p>
          <w:p w14:paraId="70E8F3E3" w14:textId="6ABF85D1" w:rsidR="00B52C9E" w:rsidRDefault="00331FA0" w:rsidP="00ED092A">
            <w:pPr>
              <w:pStyle w:val="Header"/>
              <w:numPr>
                <w:ilvl w:val="1"/>
                <w:numId w:val="3"/>
              </w:numPr>
              <w:jc w:val="both"/>
            </w:pPr>
            <w:r>
              <w:t>on or after the 181st day after the date a documentation packet was submitted;</w:t>
            </w:r>
          </w:p>
          <w:p w14:paraId="4990F91A" w14:textId="77EF70B4" w:rsidR="00060F67" w:rsidRDefault="00331FA0" w:rsidP="00ED092A">
            <w:pPr>
              <w:pStyle w:val="Header"/>
              <w:numPr>
                <w:ilvl w:val="0"/>
                <w:numId w:val="3"/>
              </w:numPr>
              <w:jc w:val="both"/>
            </w:pPr>
            <w:r>
              <w:t xml:space="preserve">a detailed statement of the reasons for </w:t>
            </w:r>
            <w:r w:rsidR="00A44E91">
              <w:t xml:space="preserve">TDHCA's </w:t>
            </w:r>
            <w:r>
              <w:t>delay in issuing Form 8609 in the</w:t>
            </w:r>
            <w:r w:rsidR="00A44E91">
              <w:t xml:space="preserve"> required time, </w:t>
            </w:r>
            <w:r>
              <w:t>including complete copies o</w:t>
            </w:r>
            <w:r>
              <w:t>f any requests for information;</w:t>
            </w:r>
          </w:p>
          <w:p w14:paraId="7FF8B1A0" w14:textId="6D1D4163" w:rsidR="00060F67" w:rsidRDefault="00331FA0" w:rsidP="00ED092A">
            <w:pPr>
              <w:pStyle w:val="Header"/>
              <w:numPr>
                <w:ilvl w:val="0"/>
                <w:numId w:val="3"/>
              </w:numPr>
              <w:jc w:val="both"/>
            </w:pPr>
            <w:r>
              <w:t xml:space="preserve">the </w:t>
            </w:r>
            <w:r w:rsidR="00A44E91">
              <w:t>a</w:t>
            </w:r>
            <w:r>
              <w:t xml:space="preserve">verage time </w:t>
            </w:r>
            <w:r w:rsidR="00A44E91">
              <w:t xml:space="preserve">TDHCA </w:t>
            </w:r>
            <w:r>
              <w:t>required for issuing Form 8609;</w:t>
            </w:r>
          </w:p>
          <w:p w14:paraId="180D1945" w14:textId="2626CA67" w:rsidR="00060F67" w:rsidRDefault="00331FA0" w:rsidP="00ED092A">
            <w:pPr>
              <w:pStyle w:val="Header"/>
              <w:numPr>
                <w:ilvl w:val="0"/>
                <w:numId w:val="3"/>
              </w:numPr>
              <w:jc w:val="both"/>
            </w:pPr>
            <w:r>
              <w:t>the total number of rejected applications for Form 8609; and</w:t>
            </w:r>
          </w:p>
          <w:p w14:paraId="498F20F8" w14:textId="283BE672" w:rsidR="00060F67" w:rsidRDefault="00331FA0" w:rsidP="00ED092A">
            <w:pPr>
              <w:pStyle w:val="Header"/>
              <w:numPr>
                <w:ilvl w:val="0"/>
                <w:numId w:val="3"/>
              </w:numPr>
              <w:jc w:val="both"/>
            </w:pPr>
            <w:r>
              <w:t xml:space="preserve">a detailed statement of the reason for </w:t>
            </w:r>
            <w:r w:rsidR="00A44E91">
              <w:t xml:space="preserve">TDHCA's </w:t>
            </w:r>
            <w:r>
              <w:t>rejection of each application.</w:t>
            </w:r>
          </w:p>
          <w:p w14:paraId="12F09DB8" w14:textId="77777777" w:rsidR="00060F67" w:rsidRDefault="00060F67" w:rsidP="00ED092A">
            <w:pPr>
              <w:pStyle w:val="Header"/>
              <w:jc w:val="both"/>
            </w:pPr>
          </w:p>
          <w:p w14:paraId="1C57679C" w14:textId="3A1DF0B7" w:rsidR="0021522C" w:rsidRDefault="00331FA0" w:rsidP="00ED092A">
            <w:pPr>
              <w:pStyle w:val="Header"/>
              <w:jc w:val="both"/>
            </w:pPr>
            <w:r>
              <w:t>C.S.</w:t>
            </w:r>
            <w:r w:rsidR="00A44E91">
              <w:t>H.B. 3136 requires TDHCA</w:t>
            </w:r>
            <w:r w:rsidR="00060F67">
              <w:t xml:space="preserve"> </w:t>
            </w:r>
            <w:r w:rsidR="00A44E91">
              <w:t>to</w:t>
            </w:r>
            <w:r w:rsidR="00060F67">
              <w:t xml:space="preserve"> adopt rules to implement </w:t>
            </w:r>
            <w:r w:rsidR="00DF77F6">
              <w:t>the bill</w:t>
            </w:r>
            <w:r w:rsidR="00B939B5">
              <w:t>'</w:t>
            </w:r>
            <w:r w:rsidR="00DF77F6">
              <w:t>s provisions</w:t>
            </w:r>
            <w:r w:rsidR="00060F67">
              <w:t>, including rules</w:t>
            </w:r>
            <w:r w:rsidR="00A44E91">
              <w:t xml:space="preserve"> s</w:t>
            </w:r>
            <w:r w:rsidR="00060F67">
              <w:t>pecifying the manner, deadline, and fees for submitting a documentation packet.</w:t>
            </w:r>
            <w:r w:rsidR="00A44E91">
              <w:t xml:space="preserve"> </w:t>
            </w:r>
          </w:p>
          <w:p w14:paraId="52D99921" w14:textId="77777777" w:rsidR="0021522C" w:rsidRDefault="0021522C" w:rsidP="00ED092A">
            <w:pPr>
              <w:pStyle w:val="Header"/>
              <w:jc w:val="both"/>
            </w:pPr>
          </w:p>
          <w:p w14:paraId="5180C606" w14:textId="7FDE5D8F" w:rsidR="00060F67" w:rsidRPr="009C36CD" w:rsidRDefault="00331FA0" w:rsidP="00ED092A">
            <w:pPr>
              <w:pStyle w:val="Header"/>
              <w:jc w:val="both"/>
            </w:pPr>
            <w:r>
              <w:t>C.S.</w:t>
            </w:r>
            <w:r w:rsidR="0021522C">
              <w:t xml:space="preserve">H.B. 3136 </w:t>
            </w:r>
            <w:r w:rsidR="00A44E91">
              <w:t xml:space="preserve">applies only to an application </w:t>
            </w:r>
            <w:r w:rsidR="008E29FD">
              <w:t xml:space="preserve">for low income housing tax credits that is submitted to TDHCA during an application cycle that is </w:t>
            </w:r>
            <w:r w:rsidR="00DF77F6">
              <w:t xml:space="preserve">based </w:t>
            </w:r>
            <w:r w:rsidR="008E29FD">
              <w:t>on the 202</w:t>
            </w:r>
            <w:r w:rsidR="00E66879">
              <w:t>3</w:t>
            </w:r>
            <w:r w:rsidR="00F345DA">
              <w:t xml:space="preserve"> </w:t>
            </w:r>
            <w:r w:rsidR="008E29FD">
              <w:t xml:space="preserve">qualified allocation plan or a subsequent plan </w:t>
            </w:r>
            <w:r w:rsidR="00DF77F6">
              <w:t>adopted</w:t>
            </w:r>
            <w:r w:rsidR="008E29FD">
              <w:t xml:space="preserve"> by the governing board of TDHCA. </w:t>
            </w:r>
          </w:p>
          <w:p w14:paraId="279E0A57" w14:textId="77777777" w:rsidR="008423E4" w:rsidRPr="00835628" w:rsidRDefault="008423E4" w:rsidP="00ED092A">
            <w:pPr>
              <w:rPr>
                <w:b/>
              </w:rPr>
            </w:pPr>
          </w:p>
        </w:tc>
      </w:tr>
      <w:tr w:rsidR="00A80BEE" w14:paraId="57114968" w14:textId="77777777" w:rsidTr="00731274">
        <w:tc>
          <w:tcPr>
            <w:tcW w:w="9475" w:type="dxa"/>
          </w:tcPr>
          <w:p w14:paraId="08450862" w14:textId="77777777" w:rsidR="008423E4" w:rsidRPr="00A8133F" w:rsidRDefault="00331FA0" w:rsidP="00ED092A">
            <w:pPr>
              <w:rPr>
                <w:b/>
              </w:rPr>
            </w:pPr>
            <w:r w:rsidRPr="009C1E9A">
              <w:rPr>
                <w:b/>
                <w:u w:val="single"/>
              </w:rPr>
              <w:t>EFFECTIVE DATE</w:t>
            </w:r>
            <w:r>
              <w:rPr>
                <w:b/>
              </w:rPr>
              <w:t xml:space="preserve"> </w:t>
            </w:r>
          </w:p>
          <w:p w14:paraId="5B5F5F28" w14:textId="77777777" w:rsidR="008423E4" w:rsidRDefault="008423E4" w:rsidP="00ED092A"/>
          <w:p w14:paraId="74D26D46" w14:textId="2B666A33" w:rsidR="008423E4" w:rsidRPr="003624F2" w:rsidRDefault="00331FA0" w:rsidP="00ED092A">
            <w:pPr>
              <w:pStyle w:val="Header"/>
              <w:tabs>
                <w:tab w:val="clear" w:pos="4320"/>
                <w:tab w:val="clear" w:pos="8640"/>
              </w:tabs>
              <w:jc w:val="both"/>
            </w:pPr>
            <w:r>
              <w:t>September 1, 2023.</w:t>
            </w:r>
          </w:p>
          <w:p w14:paraId="47B71E46" w14:textId="77777777" w:rsidR="008423E4" w:rsidRPr="00233FDB" w:rsidRDefault="008423E4" w:rsidP="00ED092A">
            <w:pPr>
              <w:rPr>
                <w:b/>
              </w:rPr>
            </w:pPr>
          </w:p>
        </w:tc>
      </w:tr>
      <w:tr w:rsidR="00A80BEE" w14:paraId="08529226" w14:textId="77777777" w:rsidTr="00731274">
        <w:tc>
          <w:tcPr>
            <w:tcW w:w="9475" w:type="dxa"/>
          </w:tcPr>
          <w:p w14:paraId="589E285B" w14:textId="77777777" w:rsidR="00CE5140" w:rsidRDefault="00331FA0" w:rsidP="00ED092A">
            <w:pPr>
              <w:jc w:val="both"/>
              <w:rPr>
                <w:b/>
                <w:u w:val="single"/>
              </w:rPr>
            </w:pPr>
            <w:r>
              <w:rPr>
                <w:b/>
                <w:u w:val="single"/>
              </w:rPr>
              <w:t>COMPARISON OF INTRODUCED AND SUBSTITUTE</w:t>
            </w:r>
          </w:p>
          <w:p w14:paraId="3FEAD588" w14:textId="77777777" w:rsidR="00761B99" w:rsidRDefault="00761B99" w:rsidP="00ED092A">
            <w:pPr>
              <w:jc w:val="both"/>
            </w:pPr>
          </w:p>
          <w:p w14:paraId="01DC87E7" w14:textId="0B3838D1" w:rsidR="00761B99" w:rsidRDefault="00331FA0" w:rsidP="00ED092A">
            <w:pPr>
              <w:jc w:val="both"/>
            </w:pPr>
            <w:r>
              <w:t xml:space="preserve">While C.S.H.B. 3136 may </w:t>
            </w:r>
            <w:r>
              <w:t>differ from the introduced in minor or nonsubstantive ways, the following summarizes the substantial differences between the introduced and committee substitute versions of the bill.</w:t>
            </w:r>
          </w:p>
          <w:p w14:paraId="19D89B2A" w14:textId="77777777" w:rsidR="00761B99" w:rsidRDefault="00761B99" w:rsidP="00ED092A">
            <w:pPr>
              <w:jc w:val="both"/>
            </w:pPr>
          </w:p>
          <w:p w14:paraId="1E3B2BD9" w14:textId="4BBCAD46" w:rsidR="00761B99" w:rsidRDefault="00331FA0" w:rsidP="00ED092A">
            <w:pPr>
              <w:jc w:val="both"/>
            </w:pPr>
            <w:r>
              <w:t xml:space="preserve">Whereas the introduced required TDHCA to issue a Form 8609 </w:t>
            </w:r>
            <w:r w:rsidR="00AB3154">
              <w:t xml:space="preserve">to a development owner </w:t>
            </w:r>
            <w:r>
              <w:t>not later than the 30th day after the</w:t>
            </w:r>
            <w:r w:rsidR="00AB3154">
              <w:t xml:space="preserve"> date the owner submits a documentation</w:t>
            </w:r>
            <w:r w:rsidR="00F33FB9">
              <w:t xml:space="preserve"> packet</w:t>
            </w:r>
            <w:r w:rsidR="00AB3154">
              <w:t>, the substitute requires TDHCA to issue the form to the owner not later than the 120th day after that date.</w:t>
            </w:r>
            <w:r>
              <w:t xml:space="preserve"> </w:t>
            </w:r>
          </w:p>
          <w:p w14:paraId="355991B6" w14:textId="77777777" w:rsidR="00761B99" w:rsidRDefault="00761B99" w:rsidP="00ED092A">
            <w:pPr>
              <w:jc w:val="both"/>
            </w:pPr>
          </w:p>
          <w:p w14:paraId="508A3DB9" w14:textId="4DD96955" w:rsidR="00761B99" w:rsidRDefault="00331FA0" w:rsidP="00ED092A">
            <w:pPr>
              <w:jc w:val="both"/>
            </w:pPr>
            <w:r>
              <w:t xml:space="preserve">The substitute omits a requirement that appeared in </w:t>
            </w:r>
            <w:r>
              <w:t>the introduced for TDHCA to establish procedures for a development owner to prepare and submit a documentation packet</w:t>
            </w:r>
            <w:r w:rsidR="0044217A">
              <w:t xml:space="preserve"> for the purpose of receiving an allocation of low income housing tax credits</w:t>
            </w:r>
            <w:r>
              <w:t>.</w:t>
            </w:r>
            <w:r w:rsidR="00F33FB9">
              <w:t xml:space="preserve"> However, the substitute includes a </w:t>
            </w:r>
            <w:r w:rsidR="0044217A">
              <w:t>clarification</w:t>
            </w:r>
            <w:r w:rsidR="00F33FB9">
              <w:t xml:space="preserve"> absent from the introduced that the packet to which the definition of "documentation packet" applies is the packet required to receive an allocation of low income housing tax credits</w:t>
            </w:r>
            <w:r w:rsidR="0044217A">
              <w:t>.</w:t>
            </w:r>
          </w:p>
          <w:p w14:paraId="626EBB47" w14:textId="77777777" w:rsidR="00761B99" w:rsidRDefault="00761B99" w:rsidP="00ED092A">
            <w:pPr>
              <w:jc w:val="both"/>
            </w:pPr>
          </w:p>
          <w:p w14:paraId="4D137360" w14:textId="77777777" w:rsidR="00761B99" w:rsidRDefault="00331FA0" w:rsidP="00ED092A">
            <w:pPr>
              <w:jc w:val="both"/>
            </w:pPr>
            <w:r>
              <w:t>Whereas the introduced required the documentation packet to include specified info</w:t>
            </w:r>
            <w:r>
              <w:t>rmation, the substitute restricts the contents of the documentation packet to only that information. With respect to that packet, the substitute does the following:</w:t>
            </w:r>
          </w:p>
          <w:p w14:paraId="58948B01" w14:textId="77CBF2F1" w:rsidR="00462F43" w:rsidRDefault="00331FA0" w:rsidP="00ED092A">
            <w:pPr>
              <w:pStyle w:val="ListParagraph"/>
              <w:numPr>
                <w:ilvl w:val="0"/>
                <w:numId w:val="6"/>
              </w:numPr>
              <w:contextualSpacing w:val="0"/>
              <w:jc w:val="both"/>
            </w:pPr>
            <w:r>
              <w:t>includes</w:t>
            </w:r>
            <w:r w:rsidR="00B36923">
              <w:t xml:space="preserve"> among the required contents of a documentation packet established in the introduced</w:t>
            </w:r>
            <w:r>
              <w:t xml:space="preserve"> a projected operating pro forma to include a rent schedule and annual operating expenses and a summary of the sources and uses of funds for the development</w:t>
            </w:r>
            <w:r w:rsidR="00D145B8">
              <w:t>;</w:t>
            </w:r>
          </w:p>
          <w:p w14:paraId="7E3E08E1" w14:textId="34FFEFAE" w:rsidR="00761B99" w:rsidRDefault="00331FA0" w:rsidP="00ED092A">
            <w:pPr>
              <w:pStyle w:val="ListParagraph"/>
              <w:numPr>
                <w:ilvl w:val="0"/>
                <w:numId w:val="6"/>
              </w:numPr>
              <w:contextualSpacing w:val="0"/>
              <w:jc w:val="both"/>
            </w:pPr>
            <w:r w:rsidRPr="00D90E1C">
              <w:t>provides for the inclusion of a substantial completion form as an alternative to the architect certification required by the introduced;</w:t>
            </w:r>
          </w:p>
          <w:p w14:paraId="599ABB7A" w14:textId="45B09D62" w:rsidR="0044217A" w:rsidRPr="00D90E1C" w:rsidRDefault="00331FA0" w:rsidP="00ED092A">
            <w:pPr>
              <w:pStyle w:val="ListParagraph"/>
              <w:numPr>
                <w:ilvl w:val="0"/>
                <w:numId w:val="6"/>
              </w:numPr>
              <w:contextualSpacing w:val="0"/>
              <w:jc w:val="both"/>
            </w:pPr>
            <w:r>
              <w:t>omits a specification present in the introduced that the requisite documentation evidencing the nonprofit participation</w:t>
            </w:r>
            <w:r>
              <w:t xml:space="preserve"> is for a development that was awarded one or two points, whereas the substitute does not specify the number of points</w:t>
            </w:r>
            <w:r w:rsidR="007C4774">
              <w:t>;</w:t>
            </w:r>
            <w:r w:rsidR="00B36923">
              <w:t xml:space="preserve"> and</w:t>
            </w:r>
          </w:p>
          <w:p w14:paraId="4EC71D16" w14:textId="5BEDE007" w:rsidR="00761B99" w:rsidRDefault="00331FA0" w:rsidP="00ED092A">
            <w:pPr>
              <w:pStyle w:val="ListParagraph"/>
              <w:numPr>
                <w:ilvl w:val="0"/>
                <w:numId w:val="6"/>
              </w:numPr>
              <w:contextualSpacing w:val="0"/>
              <w:jc w:val="both"/>
            </w:pPr>
            <w:r w:rsidRPr="00D90E1C">
              <w:t xml:space="preserve">includes provisions that were not in the introduced that require </w:t>
            </w:r>
            <w:r w:rsidR="0044217A">
              <w:t xml:space="preserve">certain of </w:t>
            </w:r>
            <w:r w:rsidRPr="00D90E1C">
              <w:t xml:space="preserve">the forms and contents of the required documentation to </w:t>
            </w:r>
            <w:r w:rsidRPr="00D90E1C">
              <w:t>be the same as those prescribed by TDHCA for the application cycle that is based on the 2022 qualified allocation plan.</w:t>
            </w:r>
          </w:p>
          <w:p w14:paraId="44801910" w14:textId="77777777" w:rsidR="00D145B8" w:rsidRDefault="00D145B8" w:rsidP="00ED092A">
            <w:pPr>
              <w:jc w:val="both"/>
            </w:pPr>
          </w:p>
          <w:p w14:paraId="3D065CEB" w14:textId="4FB8615B" w:rsidR="007C4774" w:rsidRDefault="00331FA0" w:rsidP="00ED092A">
            <w:pPr>
              <w:jc w:val="both"/>
            </w:pPr>
            <w:r>
              <w:t>While both the introduced and the substitute specify the periods</w:t>
            </w:r>
            <w:r>
              <w:t xml:space="preserve"> for which TDHCA is required to report the number of Forms 8609 issued, the substitute extends the periods specified by the introduced as follows:</w:t>
            </w:r>
          </w:p>
          <w:p w14:paraId="364BAE3F" w14:textId="6F7BC0B7" w:rsidR="00D145B8" w:rsidRDefault="00331FA0" w:rsidP="00ED092A">
            <w:pPr>
              <w:pStyle w:val="ListParagraph"/>
              <w:numPr>
                <w:ilvl w:val="0"/>
                <w:numId w:val="7"/>
              </w:numPr>
              <w:contextualSpacing w:val="0"/>
              <w:jc w:val="both"/>
            </w:pPr>
            <w:r>
              <w:t>from not later than the 15th day after the date a documentation packet was submitted to not later than the 12</w:t>
            </w:r>
            <w:r>
              <w:t>0th day after that date;</w:t>
            </w:r>
          </w:p>
          <w:p w14:paraId="3E13A721" w14:textId="470E5B26" w:rsidR="007C4774" w:rsidRDefault="00331FA0" w:rsidP="00ED092A">
            <w:pPr>
              <w:pStyle w:val="ListParagraph"/>
              <w:numPr>
                <w:ilvl w:val="0"/>
                <w:numId w:val="7"/>
              </w:numPr>
              <w:contextualSpacing w:val="0"/>
              <w:jc w:val="both"/>
            </w:pPr>
            <w:r>
              <w:t>from on or after the 16th day but before the 31st day after the date a documentation packet was submitted to on or after the 121st day but before the 151st day after that date;</w:t>
            </w:r>
          </w:p>
          <w:p w14:paraId="12FF781B" w14:textId="79FECB27" w:rsidR="007C4774" w:rsidRDefault="00331FA0" w:rsidP="00ED092A">
            <w:pPr>
              <w:pStyle w:val="ListParagraph"/>
              <w:numPr>
                <w:ilvl w:val="0"/>
                <w:numId w:val="7"/>
              </w:numPr>
              <w:contextualSpacing w:val="0"/>
              <w:jc w:val="both"/>
            </w:pPr>
            <w:r>
              <w:t xml:space="preserve">from on or after the 31st day but before the 61st day </w:t>
            </w:r>
            <w:r>
              <w:t>after the date a documentation packet was submitted to on or after the 151st day but before the 181st day after that date; and</w:t>
            </w:r>
          </w:p>
          <w:p w14:paraId="42575F20" w14:textId="0322B6B4" w:rsidR="007C4774" w:rsidRDefault="00331FA0" w:rsidP="00ED092A">
            <w:pPr>
              <w:pStyle w:val="ListParagraph"/>
              <w:numPr>
                <w:ilvl w:val="0"/>
                <w:numId w:val="7"/>
              </w:numPr>
              <w:contextualSpacing w:val="0"/>
              <w:jc w:val="both"/>
            </w:pPr>
            <w:r>
              <w:t>from on or after the 61st day after the date a documentation packet was submitted to on or after the 181st day after that date.</w:t>
            </w:r>
          </w:p>
          <w:p w14:paraId="65C7C6BE" w14:textId="7F6E8FB5" w:rsidR="007C4774" w:rsidRDefault="007C4774" w:rsidP="00ED092A">
            <w:pPr>
              <w:jc w:val="both"/>
            </w:pPr>
          </w:p>
          <w:p w14:paraId="4F8C0578" w14:textId="376065E7" w:rsidR="007C4774" w:rsidRDefault="00331FA0" w:rsidP="00ED092A">
            <w:pPr>
              <w:jc w:val="both"/>
            </w:pPr>
            <w:r>
              <w:t xml:space="preserve">While both the introduced and substitute require TDHCA to adopt rules to implement the bill's provisions, </w:t>
            </w:r>
            <w:r w:rsidR="009F6423">
              <w:t>the substitute omits the specification present in the introduced for the adopted rules to include rules prescribing the form and contents of certain documentation provided in the documentation packet.</w:t>
            </w:r>
          </w:p>
          <w:p w14:paraId="0FFA8C6E" w14:textId="77777777" w:rsidR="00D145B8" w:rsidRDefault="00D145B8" w:rsidP="00ED092A">
            <w:pPr>
              <w:jc w:val="both"/>
            </w:pPr>
          </w:p>
          <w:p w14:paraId="0AA0902A" w14:textId="10686515" w:rsidR="00761B99" w:rsidRDefault="00331FA0" w:rsidP="00ED092A">
            <w:pPr>
              <w:jc w:val="both"/>
            </w:pPr>
            <w:r>
              <w:t>Whereas the introduced applied only to an application for low income housing tax credits submitted during an application cycle that is based on the 2024 qualified allocation plan, the substitute applies t</w:t>
            </w:r>
            <w:r>
              <w:t>o those submitted during an application cycle based on the 2023 plan.</w:t>
            </w:r>
          </w:p>
          <w:p w14:paraId="619E132D" w14:textId="3FD5DD88" w:rsidR="00761B99" w:rsidRPr="00761B99" w:rsidRDefault="00761B99" w:rsidP="00ED092A">
            <w:pPr>
              <w:jc w:val="both"/>
            </w:pPr>
          </w:p>
        </w:tc>
      </w:tr>
    </w:tbl>
    <w:p w14:paraId="4D39FCC9" w14:textId="77777777" w:rsidR="008423E4" w:rsidRPr="00BE0E75" w:rsidRDefault="008423E4" w:rsidP="00ED092A">
      <w:pPr>
        <w:jc w:val="both"/>
        <w:rPr>
          <w:rFonts w:ascii="Arial" w:hAnsi="Arial"/>
          <w:sz w:val="16"/>
          <w:szCs w:val="16"/>
        </w:rPr>
      </w:pPr>
    </w:p>
    <w:p w14:paraId="44A39B56" w14:textId="77777777" w:rsidR="004108C3" w:rsidRPr="008423E4" w:rsidRDefault="004108C3" w:rsidP="00ED09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7D4E" w14:textId="77777777" w:rsidR="00000000" w:rsidRDefault="00331FA0">
      <w:r>
        <w:separator/>
      </w:r>
    </w:p>
  </w:endnote>
  <w:endnote w:type="continuationSeparator" w:id="0">
    <w:p w14:paraId="1565B7D0" w14:textId="77777777" w:rsidR="00000000" w:rsidRDefault="003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EB2" w14:textId="77777777" w:rsidR="00D16D57" w:rsidRDefault="00D1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0BEE" w14:paraId="225D705F" w14:textId="77777777" w:rsidTr="009C1E9A">
      <w:trPr>
        <w:cantSplit/>
      </w:trPr>
      <w:tc>
        <w:tcPr>
          <w:tcW w:w="0" w:type="pct"/>
        </w:tcPr>
        <w:p w14:paraId="4E6965AB" w14:textId="77777777" w:rsidR="00137D90" w:rsidRDefault="00137D90" w:rsidP="009C1E9A">
          <w:pPr>
            <w:pStyle w:val="Footer"/>
            <w:tabs>
              <w:tab w:val="clear" w:pos="8640"/>
              <w:tab w:val="right" w:pos="9360"/>
            </w:tabs>
          </w:pPr>
        </w:p>
      </w:tc>
      <w:tc>
        <w:tcPr>
          <w:tcW w:w="2395" w:type="pct"/>
        </w:tcPr>
        <w:p w14:paraId="3C6E3201" w14:textId="77777777" w:rsidR="00137D90" w:rsidRDefault="00137D90" w:rsidP="009C1E9A">
          <w:pPr>
            <w:pStyle w:val="Footer"/>
            <w:tabs>
              <w:tab w:val="clear" w:pos="8640"/>
              <w:tab w:val="right" w:pos="9360"/>
            </w:tabs>
          </w:pPr>
        </w:p>
        <w:p w14:paraId="6A8124E1" w14:textId="77777777" w:rsidR="001A4310" w:rsidRDefault="001A4310" w:rsidP="009C1E9A">
          <w:pPr>
            <w:pStyle w:val="Footer"/>
            <w:tabs>
              <w:tab w:val="clear" w:pos="8640"/>
              <w:tab w:val="right" w:pos="9360"/>
            </w:tabs>
          </w:pPr>
        </w:p>
        <w:p w14:paraId="7770C7BE" w14:textId="77777777" w:rsidR="00137D90" w:rsidRDefault="00137D90" w:rsidP="009C1E9A">
          <w:pPr>
            <w:pStyle w:val="Footer"/>
            <w:tabs>
              <w:tab w:val="clear" w:pos="8640"/>
              <w:tab w:val="right" w:pos="9360"/>
            </w:tabs>
          </w:pPr>
        </w:p>
      </w:tc>
      <w:tc>
        <w:tcPr>
          <w:tcW w:w="2453" w:type="pct"/>
        </w:tcPr>
        <w:p w14:paraId="3CABB577" w14:textId="77777777" w:rsidR="00137D90" w:rsidRDefault="00137D90" w:rsidP="009C1E9A">
          <w:pPr>
            <w:pStyle w:val="Footer"/>
            <w:tabs>
              <w:tab w:val="clear" w:pos="8640"/>
              <w:tab w:val="right" w:pos="9360"/>
            </w:tabs>
            <w:jc w:val="right"/>
          </w:pPr>
        </w:p>
      </w:tc>
    </w:tr>
    <w:tr w:rsidR="00A80BEE" w14:paraId="1C7A48D1" w14:textId="77777777" w:rsidTr="009C1E9A">
      <w:trPr>
        <w:cantSplit/>
      </w:trPr>
      <w:tc>
        <w:tcPr>
          <w:tcW w:w="0" w:type="pct"/>
        </w:tcPr>
        <w:p w14:paraId="75ACB3B1" w14:textId="77777777" w:rsidR="00EC379B" w:rsidRDefault="00EC379B" w:rsidP="009C1E9A">
          <w:pPr>
            <w:pStyle w:val="Footer"/>
            <w:tabs>
              <w:tab w:val="clear" w:pos="8640"/>
              <w:tab w:val="right" w:pos="9360"/>
            </w:tabs>
          </w:pPr>
        </w:p>
      </w:tc>
      <w:tc>
        <w:tcPr>
          <w:tcW w:w="2395" w:type="pct"/>
        </w:tcPr>
        <w:p w14:paraId="7D767C91" w14:textId="214BF34D" w:rsidR="00EC379B" w:rsidRPr="009C1E9A" w:rsidRDefault="00331FA0" w:rsidP="009C1E9A">
          <w:pPr>
            <w:pStyle w:val="Footer"/>
            <w:tabs>
              <w:tab w:val="clear" w:pos="8640"/>
              <w:tab w:val="right" w:pos="9360"/>
            </w:tabs>
            <w:rPr>
              <w:rFonts w:ascii="Shruti" w:hAnsi="Shruti"/>
              <w:sz w:val="22"/>
            </w:rPr>
          </w:pPr>
          <w:r>
            <w:rPr>
              <w:rFonts w:ascii="Shruti" w:hAnsi="Shruti"/>
              <w:sz w:val="22"/>
            </w:rPr>
            <w:t>88R 23809-D</w:t>
          </w:r>
        </w:p>
      </w:tc>
      <w:tc>
        <w:tcPr>
          <w:tcW w:w="2453" w:type="pct"/>
        </w:tcPr>
        <w:p w14:paraId="4595BCD6" w14:textId="325B865F" w:rsidR="00EC379B" w:rsidRDefault="00331FA0" w:rsidP="009C1E9A">
          <w:pPr>
            <w:pStyle w:val="Footer"/>
            <w:tabs>
              <w:tab w:val="clear" w:pos="8640"/>
              <w:tab w:val="right" w:pos="9360"/>
            </w:tabs>
            <w:jc w:val="right"/>
          </w:pPr>
          <w:r>
            <w:fldChar w:fldCharType="begin"/>
          </w:r>
          <w:r>
            <w:instrText xml:space="preserve"> DOCPROPERTY  OTID  \* MERGEFORMAT </w:instrText>
          </w:r>
          <w:r>
            <w:fldChar w:fldCharType="separate"/>
          </w:r>
          <w:r w:rsidR="002478C3">
            <w:t>23.105.637</w:t>
          </w:r>
          <w:r>
            <w:fldChar w:fldCharType="end"/>
          </w:r>
        </w:p>
      </w:tc>
    </w:tr>
    <w:tr w:rsidR="00A80BEE" w14:paraId="2378F26E" w14:textId="77777777" w:rsidTr="009C1E9A">
      <w:trPr>
        <w:cantSplit/>
      </w:trPr>
      <w:tc>
        <w:tcPr>
          <w:tcW w:w="0" w:type="pct"/>
        </w:tcPr>
        <w:p w14:paraId="1A48430F" w14:textId="77777777" w:rsidR="00EC379B" w:rsidRDefault="00EC379B" w:rsidP="009C1E9A">
          <w:pPr>
            <w:pStyle w:val="Footer"/>
            <w:tabs>
              <w:tab w:val="clear" w:pos="4320"/>
              <w:tab w:val="clear" w:pos="8640"/>
              <w:tab w:val="left" w:pos="2865"/>
            </w:tabs>
          </w:pPr>
        </w:p>
      </w:tc>
      <w:tc>
        <w:tcPr>
          <w:tcW w:w="2395" w:type="pct"/>
        </w:tcPr>
        <w:p w14:paraId="614154B7" w14:textId="5E07DB06" w:rsidR="00EC379B" w:rsidRPr="009C1E9A" w:rsidRDefault="00331FA0" w:rsidP="009C1E9A">
          <w:pPr>
            <w:pStyle w:val="Footer"/>
            <w:tabs>
              <w:tab w:val="clear" w:pos="4320"/>
              <w:tab w:val="clear" w:pos="8640"/>
              <w:tab w:val="left" w:pos="2865"/>
            </w:tabs>
            <w:rPr>
              <w:rFonts w:ascii="Shruti" w:hAnsi="Shruti"/>
              <w:sz w:val="22"/>
            </w:rPr>
          </w:pPr>
          <w:r>
            <w:rPr>
              <w:rFonts w:ascii="Shruti" w:hAnsi="Shruti"/>
              <w:sz w:val="22"/>
            </w:rPr>
            <w:t>Substitute Document Number: 88R 20892</w:t>
          </w:r>
        </w:p>
      </w:tc>
      <w:tc>
        <w:tcPr>
          <w:tcW w:w="2453" w:type="pct"/>
        </w:tcPr>
        <w:p w14:paraId="225BC826" w14:textId="77777777" w:rsidR="00EC379B" w:rsidRDefault="00EC379B" w:rsidP="006D504F">
          <w:pPr>
            <w:pStyle w:val="Footer"/>
            <w:rPr>
              <w:rStyle w:val="PageNumber"/>
            </w:rPr>
          </w:pPr>
        </w:p>
        <w:p w14:paraId="361A2136" w14:textId="77777777" w:rsidR="00EC379B" w:rsidRDefault="00EC379B" w:rsidP="009C1E9A">
          <w:pPr>
            <w:pStyle w:val="Footer"/>
            <w:tabs>
              <w:tab w:val="clear" w:pos="8640"/>
              <w:tab w:val="right" w:pos="9360"/>
            </w:tabs>
            <w:jc w:val="right"/>
          </w:pPr>
        </w:p>
      </w:tc>
    </w:tr>
    <w:tr w:rsidR="00A80BEE" w14:paraId="3710E6C8" w14:textId="77777777" w:rsidTr="009C1E9A">
      <w:trPr>
        <w:cantSplit/>
        <w:trHeight w:val="323"/>
      </w:trPr>
      <w:tc>
        <w:tcPr>
          <w:tcW w:w="0" w:type="pct"/>
          <w:gridSpan w:val="3"/>
        </w:tcPr>
        <w:p w14:paraId="71F92952" w14:textId="77777777" w:rsidR="00EC379B" w:rsidRDefault="00331FA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EB313F0" w14:textId="77777777" w:rsidR="00EC379B" w:rsidRDefault="00EC379B" w:rsidP="009C1E9A">
          <w:pPr>
            <w:pStyle w:val="Footer"/>
            <w:tabs>
              <w:tab w:val="clear" w:pos="8640"/>
              <w:tab w:val="right" w:pos="9360"/>
            </w:tabs>
            <w:jc w:val="center"/>
          </w:pPr>
        </w:p>
      </w:tc>
    </w:tr>
  </w:tbl>
  <w:p w14:paraId="1E72659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6F51" w14:textId="77777777" w:rsidR="00D16D57" w:rsidRDefault="00D1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04DB" w14:textId="77777777" w:rsidR="00000000" w:rsidRDefault="00331FA0">
      <w:r>
        <w:separator/>
      </w:r>
    </w:p>
  </w:footnote>
  <w:footnote w:type="continuationSeparator" w:id="0">
    <w:p w14:paraId="180C3790" w14:textId="77777777" w:rsidR="00000000" w:rsidRDefault="0033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507B" w14:textId="77777777" w:rsidR="00D16D57" w:rsidRDefault="00D1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D5A" w14:textId="77777777" w:rsidR="00D16D57" w:rsidRDefault="00D1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FFE9" w14:textId="77777777" w:rsidR="00D16D57" w:rsidRDefault="00D1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ED8"/>
    <w:multiLevelType w:val="hybridMultilevel"/>
    <w:tmpl w:val="F60CEA5A"/>
    <w:lvl w:ilvl="0" w:tplc="E6F2950E">
      <w:start w:val="1"/>
      <w:numFmt w:val="bullet"/>
      <w:lvlText w:val=""/>
      <w:lvlJc w:val="left"/>
      <w:pPr>
        <w:tabs>
          <w:tab w:val="num" w:pos="780"/>
        </w:tabs>
        <w:ind w:left="780" w:hanging="360"/>
      </w:pPr>
      <w:rPr>
        <w:rFonts w:ascii="Symbol" w:hAnsi="Symbol" w:hint="default"/>
      </w:rPr>
    </w:lvl>
    <w:lvl w:ilvl="1" w:tplc="A38EE992" w:tentative="1">
      <w:start w:val="1"/>
      <w:numFmt w:val="bullet"/>
      <w:lvlText w:val="o"/>
      <w:lvlJc w:val="left"/>
      <w:pPr>
        <w:ind w:left="1500" w:hanging="360"/>
      </w:pPr>
      <w:rPr>
        <w:rFonts w:ascii="Courier New" w:hAnsi="Courier New" w:cs="Courier New" w:hint="default"/>
      </w:rPr>
    </w:lvl>
    <w:lvl w:ilvl="2" w:tplc="2F845492" w:tentative="1">
      <w:start w:val="1"/>
      <w:numFmt w:val="bullet"/>
      <w:lvlText w:val=""/>
      <w:lvlJc w:val="left"/>
      <w:pPr>
        <w:ind w:left="2220" w:hanging="360"/>
      </w:pPr>
      <w:rPr>
        <w:rFonts w:ascii="Wingdings" w:hAnsi="Wingdings" w:hint="default"/>
      </w:rPr>
    </w:lvl>
    <w:lvl w:ilvl="3" w:tplc="DBFE637A" w:tentative="1">
      <w:start w:val="1"/>
      <w:numFmt w:val="bullet"/>
      <w:lvlText w:val=""/>
      <w:lvlJc w:val="left"/>
      <w:pPr>
        <w:ind w:left="2940" w:hanging="360"/>
      </w:pPr>
      <w:rPr>
        <w:rFonts w:ascii="Symbol" w:hAnsi="Symbol" w:hint="default"/>
      </w:rPr>
    </w:lvl>
    <w:lvl w:ilvl="4" w:tplc="D974F244" w:tentative="1">
      <w:start w:val="1"/>
      <w:numFmt w:val="bullet"/>
      <w:lvlText w:val="o"/>
      <w:lvlJc w:val="left"/>
      <w:pPr>
        <w:ind w:left="3660" w:hanging="360"/>
      </w:pPr>
      <w:rPr>
        <w:rFonts w:ascii="Courier New" w:hAnsi="Courier New" w:cs="Courier New" w:hint="default"/>
      </w:rPr>
    </w:lvl>
    <w:lvl w:ilvl="5" w:tplc="9BB4CD9A" w:tentative="1">
      <w:start w:val="1"/>
      <w:numFmt w:val="bullet"/>
      <w:lvlText w:val=""/>
      <w:lvlJc w:val="left"/>
      <w:pPr>
        <w:ind w:left="4380" w:hanging="360"/>
      </w:pPr>
      <w:rPr>
        <w:rFonts w:ascii="Wingdings" w:hAnsi="Wingdings" w:hint="default"/>
      </w:rPr>
    </w:lvl>
    <w:lvl w:ilvl="6" w:tplc="205CF2C4" w:tentative="1">
      <w:start w:val="1"/>
      <w:numFmt w:val="bullet"/>
      <w:lvlText w:val=""/>
      <w:lvlJc w:val="left"/>
      <w:pPr>
        <w:ind w:left="5100" w:hanging="360"/>
      </w:pPr>
      <w:rPr>
        <w:rFonts w:ascii="Symbol" w:hAnsi="Symbol" w:hint="default"/>
      </w:rPr>
    </w:lvl>
    <w:lvl w:ilvl="7" w:tplc="D1F068D4" w:tentative="1">
      <w:start w:val="1"/>
      <w:numFmt w:val="bullet"/>
      <w:lvlText w:val="o"/>
      <w:lvlJc w:val="left"/>
      <w:pPr>
        <w:ind w:left="5820" w:hanging="360"/>
      </w:pPr>
      <w:rPr>
        <w:rFonts w:ascii="Courier New" w:hAnsi="Courier New" w:cs="Courier New" w:hint="default"/>
      </w:rPr>
    </w:lvl>
    <w:lvl w:ilvl="8" w:tplc="2C1C7CD4" w:tentative="1">
      <w:start w:val="1"/>
      <w:numFmt w:val="bullet"/>
      <w:lvlText w:val=""/>
      <w:lvlJc w:val="left"/>
      <w:pPr>
        <w:ind w:left="6540" w:hanging="360"/>
      </w:pPr>
      <w:rPr>
        <w:rFonts w:ascii="Wingdings" w:hAnsi="Wingdings" w:hint="default"/>
      </w:rPr>
    </w:lvl>
  </w:abstractNum>
  <w:abstractNum w:abstractNumId="1" w15:restartNumberingAfterBreak="0">
    <w:nsid w:val="4741393C"/>
    <w:multiLevelType w:val="hybridMultilevel"/>
    <w:tmpl w:val="F2E0178C"/>
    <w:lvl w:ilvl="0" w:tplc="B35C6E40">
      <w:start w:val="1"/>
      <w:numFmt w:val="bullet"/>
      <w:lvlText w:val=""/>
      <w:lvlJc w:val="left"/>
      <w:pPr>
        <w:tabs>
          <w:tab w:val="num" w:pos="720"/>
        </w:tabs>
        <w:ind w:left="720" w:hanging="360"/>
      </w:pPr>
      <w:rPr>
        <w:rFonts w:ascii="Symbol" w:hAnsi="Symbol" w:hint="default"/>
      </w:rPr>
    </w:lvl>
    <w:lvl w:ilvl="1" w:tplc="06CE6D90">
      <w:start w:val="1"/>
      <w:numFmt w:val="bullet"/>
      <w:lvlText w:val="o"/>
      <w:lvlJc w:val="left"/>
      <w:pPr>
        <w:ind w:left="1440" w:hanging="360"/>
      </w:pPr>
      <w:rPr>
        <w:rFonts w:ascii="Courier New" w:hAnsi="Courier New" w:cs="Courier New" w:hint="default"/>
      </w:rPr>
    </w:lvl>
    <w:lvl w:ilvl="2" w:tplc="8C7CECD6">
      <w:start w:val="1"/>
      <w:numFmt w:val="bullet"/>
      <w:lvlText w:val=""/>
      <w:lvlJc w:val="left"/>
      <w:pPr>
        <w:ind w:left="2160" w:hanging="360"/>
      </w:pPr>
      <w:rPr>
        <w:rFonts w:ascii="Wingdings" w:hAnsi="Wingdings" w:hint="default"/>
      </w:rPr>
    </w:lvl>
    <w:lvl w:ilvl="3" w:tplc="6C628BCA" w:tentative="1">
      <w:start w:val="1"/>
      <w:numFmt w:val="bullet"/>
      <w:lvlText w:val=""/>
      <w:lvlJc w:val="left"/>
      <w:pPr>
        <w:ind w:left="2880" w:hanging="360"/>
      </w:pPr>
      <w:rPr>
        <w:rFonts w:ascii="Symbol" w:hAnsi="Symbol" w:hint="default"/>
      </w:rPr>
    </w:lvl>
    <w:lvl w:ilvl="4" w:tplc="5EE018C0" w:tentative="1">
      <w:start w:val="1"/>
      <w:numFmt w:val="bullet"/>
      <w:lvlText w:val="o"/>
      <w:lvlJc w:val="left"/>
      <w:pPr>
        <w:ind w:left="3600" w:hanging="360"/>
      </w:pPr>
      <w:rPr>
        <w:rFonts w:ascii="Courier New" w:hAnsi="Courier New" w:cs="Courier New" w:hint="default"/>
      </w:rPr>
    </w:lvl>
    <w:lvl w:ilvl="5" w:tplc="EB6E76AC" w:tentative="1">
      <w:start w:val="1"/>
      <w:numFmt w:val="bullet"/>
      <w:lvlText w:val=""/>
      <w:lvlJc w:val="left"/>
      <w:pPr>
        <w:ind w:left="4320" w:hanging="360"/>
      </w:pPr>
      <w:rPr>
        <w:rFonts w:ascii="Wingdings" w:hAnsi="Wingdings" w:hint="default"/>
      </w:rPr>
    </w:lvl>
    <w:lvl w:ilvl="6" w:tplc="FEBE688E" w:tentative="1">
      <w:start w:val="1"/>
      <w:numFmt w:val="bullet"/>
      <w:lvlText w:val=""/>
      <w:lvlJc w:val="left"/>
      <w:pPr>
        <w:ind w:left="5040" w:hanging="360"/>
      </w:pPr>
      <w:rPr>
        <w:rFonts w:ascii="Symbol" w:hAnsi="Symbol" w:hint="default"/>
      </w:rPr>
    </w:lvl>
    <w:lvl w:ilvl="7" w:tplc="7478AA7A" w:tentative="1">
      <w:start w:val="1"/>
      <w:numFmt w:val="bullet"/>
      <w:lvlText w:val="o"/>
      <w:lvlJc w:val="left"/>
      <w:pPr>
        <w:ind w:left="5760" w:hanging="360"/>
      </w:pPr>
      <w:rPr>
        <w:rFonts w:ascii="Courier New" w:hAnsi="Courier New" w:cs="Courier New" w:hint="default"/>
      </w:rPr>
    </w:lvl>
    <w:lvl w:ilvl="8" w:tplc="AF52722A" w:tentative="1">
      <w:start w:val="1"/>
      <w:numFmt w:val="bullet"/>
      <w:lvlText w:val=""/>
      <w:lvlJc w:val="left"/>
      <w:pPr>
        <w:ind w:left="6480" w:hanging="360"/>
      </w:pPr>
      <w:rPr>
        <w:rFonts w:ascii="Wingdings" w:hAnsi="Wingdings" w:hint="default"/>
      </w:rPr>
    </w:lvl>
  </w:abstractNum>
  <w:abstractNum w:abstractNumId="2" w15:restartNumberingAfterBreak="0">
    <w:nsid w:val="5071554B"/>
    <w:multiLevelType w:val="hybridMultilevel"/>
    <w:tmpl w:val="4176C512"/>
    <w:lvl w:ilvl="0" w:tplc="7D10525E">
      <w:start w:val="1"/>
      <w:numFmt w:val="upperLetter"/>
      <w:lvlText w:val="(%1)"/>
      <w:lvlJc w:val="left"/>
      <w:pPr>
        <w:ind w:left="810" w:hanging="450"/>
      </w:pPr>
      <w:rPr>
        <w:rFonts w:hint="default"/>
      </w:rPr>
    </w:lvl>
    <w:lvl w:ilvl="1" w:tplc="50621EF0" w:tentative="1">
      <w:start w:val="1"/>
      <w:numFmt w:val="lowerLetter"/>
      <w:lvlText w:val="%2."/>
      <w:lvlJc w:val="left"/>
      <w:pPr>
        <w:ind w:left="1440" w:hanging="360"/>
      </w:pPr>
    </w:lvl>
    <w:lvl w:ilvl="2" w:tplc="5A90B296" w:tentative="1">
      <w:start w:val="1"/>
      <w:numFmt w:val="lowerRoman"/>
      <w:lvlText w:val="%3."/>
      <w:lvlJc w:val="right"/>
      <w:pPr>
        <w:ind w:left="2160" w:hanging="180"/>
      </w:pPr>
    </w:lvl>
    <w:lvl w:ilvl="3" w:tplc="BB8C9D06" w:tentative="1">
      <w:start w:val="1"/>
      <w:numFmt w:val="decimal"/>
      <w:lvlText w:val="%4."/>
      <w:lvlJc w:val="left"/>
      <w:pPr>
        <w:ind w:left="2880" w:hanging="360"/>
      </w:pPr>
    </w:lvl>
    <w:lvl w:ilvl="4" w:tplc="77905456" w:tentative="1">
      <w:start w:val="1"/>
      <w:numFmt w:val="lowerLetter"/>
      <w:lvlText w:val="%5."/>
      <w:lvlJc w:val="left"/>
      <w:pPr>
        <w:ind w:left="3600" w:hanging="360"/>
      </w:pPr>
    </w:lvl>
    <w:lvl w:ilvl="5" w:tplc="FF84F940" w:tentative="1">
      <w:start w:val="1"/>
      <w:numFmt w:val="lowerRoman"/>
      <w:lvlText w:val="%6."/>
      <w:lvlJc w:val="right"/>
      <w:pPr>
        <w:ind w:left="4320" w:hanging="180"/>
      </w:pPr>
    </w:lvl>
    <w:lvl w:ilvl="6" w:tplc="9A508E82" w:tentative="1">
      <w:start w:val="1"/>
      <w:numFmt w:val="decimal"/>
      <w:lvlText w:val="%7."/>
      <w:lvlJc w:val="left"/>
      <w:pPr>
        <w:ind w:left="5040" w:hanging="360"/>
      </w:pPr>
    </w:lvl>
    <w:lvl w:ilvl="7" w:tplc="A8241F02" w:tentative="1">
      <w:start w:val="1"/>
      <w:numFmt w:val="lowerLetter"/>
      <w:lvlText w:val="%8."/>
      <w:lvlJc w:val="left"/>
      <w:pPr>
        <w:ind w:left="5760" w:hanging="360"/>
      </w:pPr>
    </w:lvl>
    <w:lvl w:ilvl="8" w:tplc="E5EACDAA" w:tentative="1">
      <w:start w:val="1"/>
      <w:numFmt w:val="lowerRoman"/>
      <w:lvlText w:val="%9."/>
      <w:lvlJc w:val="right"/>
      <w:pPr>
        <w:ind w:left="6480" w:hanging="180"/>
      </w:pPr>
    </w:lvl>
  </w:abstractNum>
  <w:abstractNum w:abstractNumId="3" w15:restartNumberingAfterBreak="0">
    <w:nsid w:val="52A12811"/>
    <w:multiLevelType w:val="hybridMultilevel"/>
    <w:tmpl w:val="4D4E0758"/>
    <w:lvl w:ilvl="0" w:tplc="797AD1DA">
      <w:start w:val="1"/>
      <w:numFmt w:val="decimal"/>
      <w:lvlText w:val="(%1)"/>
      <w:lvlJc w:val="left"/>
      <w:pPr>
        <w:ind w:left="758" w:hanging="398"/>
      </w:pPr>
      <w:rPr>
        <w:rFonts w:hint="default"/>
      </w:rPr>
    </w:lvl>
    <w:lvl w:ilvl="1" w:tplc="2B50185C">
      <w:start w:val="1"/>
      <w:numFmt w:val="upperLetter"/>
      <w:lvlText w:val="(%2)"/>
      <w:lvlJc w:val="left"/>
      <w:pPr>
        <w:ind w:left="1530" w:hanging="450"/>
      </w:pPr>
      <w:rPr>
        <w:rFonts w:hint="default"/>
      </w:rPr>
    </w:lvl>
    <w:lvl w:ilvl="2" w:tplc="DAB261C2">
      <w:start w:val="1"/>
      <w:numFmt w:val="lowerRoman"/>
      <w:lvlText w:val="(%3)"/>
      <w:lvlJc w:val="left"/>
      <w:pPr>
        <w:ind w:left="2700" w:hanging="720"/>
      </w:pPr>
      <w:rPr>
        <w:rFonts w:hint="default"/>
      </w:rPr>
    </w:lvl>
    <w:lvl w:ilvl="3" w:tplc="EB362AC2" w:tentative="1">
      <w:start w:val="1"/>
      <w:numFmt w:val="decimal"/>
      <w:lvlText w:val="%4."/>
      <w:lvlJc w:val="left"/>
      <w:pPr>
        <w:ind w:left="2880" w:hanging="360"/>
      </w:pPr>
    </w:lvl>
    <w:lvl w:ilvl="4" w:tplc="C84A378E" w:tentative="1">
      <w:start w:val="1"/>
      <w:numFmt w:val="lowerLetter"/>
      <w:lvlText w:val="%5."/>
      <w:lvlJc w:val="left"/>
      <w:pPr>
        <w:ind w:left="3600" w:hanging="360"/>
      </w:pPr>
    </w:lvl>
    <w:lvl w:ilvl="5" w:tplc="9D60FE86" w:tentative="1">
      <w:start w:val="1"/>
      <w:numFmt w:val="lowerRoman"/>
      <w:lvlText w:val="%6."/>
      <w:lvlJc w:val="right"/>
      <w:pPr>
        <w:ind w:left="4320" w:hanging="180"/>
      </w:pPr>
    </w:lvl>
    <w:lvl w:ilvl="6" w:tplc="DE06176A" w:tentative="1">
      <w:start w:val="1"/>
      <w:numFmt w:val="decimal"/>
      <w:lvlText w:val="%7."/>
      <w:lvlJc w:val="left"/>
      <w:pPr>
        <w:ind w:left="5040" w:hanging="360"/>
      </w:pPr>
    </w:lvl>
    <w:lvl w:ilvl="7" w:tplc="89447510" w:tentative="1">
      <w:start w:val="1"/>
      <w:numFmt w:val="lowerLetter"/>
      <w:lvlText w:val="%8."/>
      <w:lvlJc w:val="left"/>
      <w:pPr>
        <w:ind w:left="5760" w:hanging="360"/>
      </w:pPr>
    </w:lvl>
    <w:lvl w:ilvl="8" w:tplc="6A12D1BE" w:tentative="1">
      <w:start w:val="1"/>
      <w:numFmt w:val="lowerRoman"/>
      <w:lvlText w:val="%9."/>
      <w:lvlJc w:val="right"/>
      <w:pPr>
        <w:ind w:left="6480" w:hanging="180"/>
      </w:pPr>
    </w:lvl>
  </w:abstractNum>
  <w:abstractNum w:abstractNumId="4" w15:restartNumberingAfterBreak="0">
    <w:nsid w:val="56692F6D"/>
    <w:multiLevelType w:val="hybridMultilevel"/>
    <w:tmpl w:val="33500236"/>
    <w:lvl w:ilvl="0" w:tplc="4A4E1126">
      <w:start w:val="1"/>
      <w:numFmt w:val="bullet"/>
      <w:lvlText w:val=""/>
      <w:lvlJc w:val="left"/>
      <w:pPr>
        <w:tabs>
          <w:tab w:val="num" w:pos="720"/>
        </w:tabs>
        <w:ind w:left="720" w:hanging="360"/>
      </w:pPr>
      <w:rPr>
        <w:rFonts w:ascii="Symbol" w:hAnsi="Symbol" w:hint="default"/>
      </w:rPr>
    </w:lvl>
    <w:lvl w:ilvl="1" w:tplc="47865024">
      <w:start w:val="1"/>
      <w:numFmt w:val="bullet"/>
      <w:lvlText w:val="o"/>
      <w:lvlJc w:val="left"/>
      <w:pPr>
        <w:ind w:left="1440" w:hanging="360"/>
      </w:pPr>
      <w:rPr>
        <w:rFonts w:ascii="Courier New" w:hAnsi="Courier New" w:cs="Courier New" w:hint="default"/>
      </w:rPr>
    </w:lvl>
    <w:lvl w:ilvl="2" w:tplc="EA905C68" w:tentative="1">
      <w:start w:val="1"/>
      <w:numFmt w:val="bullet"/>
      <w:lvlText w:val=""/>
      <w:lvlJc w:val="left"/>
      <w:pPr>
        <w:ind w:left="2160" w:hanging="360"/>
      </w:pPr>
      <w:rPr>
        <w:rFonts w:ascii="Wingdings" w:hAnsi="Wingdings" w:hint="default"/>
      </w:rPr>
    </w:lvl>
    <w:lvl w:ilvl="3" w:tplc="548CF054" w:tentative="1">
      <w:start w:val="1"/>
      <w:numFmt w:val="bullet"/>
      <w:lvlText w:val=""/>
      <w:lvlJc w:val="left"/>
      <w:pPr>
        <w:ind w:left="2880" w:hanging="360"/>
      </w:pPr>
      <w:rPr>
        <w:rFonts w:ascii="Symbol" w:hAnsi="Symbol" w:hint="default"/>
      </w:rPr>
    </w:lvl>
    <w:lvl w:ilvl="4" w:tplc="510A6F78" w:tentative="1">
      <w:start w:val="1"/>
      <w:numFmt w:val="bullet"/>
      <w:lvlText w:val="o"/>
      <w:lvlJc w:val="left"/>
      <w:pPr>
        <w:ind w:left="3600" w:hanging="360"/>
      </w:pPr>
      <w:rPr>
        <w:rFonts w:ascii="Courier New" w:hAnsi="Courier New" w:cs="Courier New" w:hint="default"/>
      </w:rPr>
    </w:lvl>
    <w:lvl w:ilvl="5" w:tplc="D3D4E3D6" w:tentative="1">
      <w:start w:val="1"/>
      <w:numFmt w:val="bullet"/>
      <w:lvlText w:val=""/>
      <w:lvlJc w:val="left"/>
      <w:pPr>
        <w:ind w:left="4320" w:hanging="360"/>
      </w:pPr>
      <w:rPr>
        <w:rFonts w:ascii="Wingdings" w:hAnsi="Wingdings" w:hint="default"/>
      </w:rPr>
    </w:lvl>
    <w:lvl w:ilvl="6" w:tplc="041C0142" w:tentative="1">
      <w:start w:val="1"/>
      <w:numFmt w:val="bullet"/>
      <w:lvlText w:val=""/>
      <w:lvlJc w:val="left"/>
      <w:pPr>
        <w:ind w:left="5040" w:hanging="360"/>
      </w:pPr>
      <w:rPr>
        <w:rFonts w:ascii="Symbol" w:hAnsi="Symbol" w:hint="default"/>
      </w:rPr>
    </w:lvl>
    <w:lvl w:ilvl="7" w:tplc="88DE4A60" w:tentative="1">
      <w:start w:val="1"/>
      <w:numFmt w:val="bullet"/>
      <w:lvlText w:val="o"/>
      <w:lvlJc w:val="left"/>
      <w:pPr>
        <w:ind w:left="5760" w:hanging="360"/>
      </w:pPr>
      <w:rPr>
        <w:rFonts w:ascii="Courier New" w:hAnsi="Courier New" w:cs="Courier New" w:hint="default"/>
      </w:rPr>
    </w:lvl>
    <w:lvl w:ilvl="8" w:tplc="C06A534E" w:tentative="1">
      <w:start w:val="1"/>
      <w:numFmt w:val="bullet"/>
      <w:lvlText w:val=""/>
      <w:lvlJc w:val="left"/>
      <w:pPr>
        <w:ind w:left="6480" w:hanging="360"/>
      </w:pPr>
      <w:rPr>
        <w:rFonts w:ascii="Wingdings" w:hAnsi="Wingdings" w:hint="default"/>
      </w:rPr>
    </w:lvl>
  </w:abstractNum>
  <w:abstractNum w:abstractNumId="5" w15:restartNumberingAfterBreak="0">
    <w:nsid w:val="626D434D"/>
    <w:multiLevelType w:val="hybridMultilevel"/>
    <w:tmpl w:val="46BABBE2"/>
    <w:lvl w:ilvl="0" w:tplc="C0C00D54">
      <w:start w:val="1"/>
      <w:numFmt w:val="bullet"/>
      <w:lvlText w:val=""/>
      <w:lvlJc w:val="left"/>
      <w:pPr>
        <w:tabs>
          <w:tab w:val="num" w:pos="783"/>
        </w:tabs>
        <w:ind w:left="783" w:hanging="360"/>
      </w:pPr>
      <w:rPr>
        <w:rFonts w:ascii="Symbol" w:hAnsi="Symbol" w:hint="default"/>
      </w:rPr>
    </w:lvl>
    <w:lvl w:ilvl="1" w:tplc="B71E8D86" w:tentative="1">
      <w:start w:val="1"/>
      <w:numFmt w:val="bullet"/>
      <w:lvlText w:val="o"/>
      <w:lvlJc w:val="left"/>
      <w:pPr>
        <w:ind w:left="1503" w:hanging="360"/>
      </w:pPr>
      <w:rPr>
        <w:rFonts w:ascii="Courier New" w:hAnsi="Courier New" w:cs="Courier New" w:hint="default"/>
      </w:rPr>
    </w:lvl>
    <w:lvl w:ilvl="2" w:tplc="C5304EF6" w:tentative="1">
      <w:start w:val="1"/>
      <w:numFmt w:val="bullet"/>
      <w:lvlText w:val=""/>
      <w:lvlJc w:val="left"/>
      <w:pPr>
        <w:ind w:left="2223" w:hanging="360"/>
      </w:pPr>
      <w:rPr>
        <w:rFonts w:ascii="Wingdings" w:hAnsi="Wingdings" w:hint="default"/>
      </w:rPr>
    </w:lvl>
    <w:lvl w:ilvl="3" w:tplc="9A4019E6" w:tentative="1">
      <w:start w:val="1"/>
      <w:numFmt w:val="bullet"/>
      <w:lvlText w:val=""/>
      <w:lvlJc w:val="left"/>
      <w:pPr>
        <w:ind w:left="2943" w:hanging="360"/>
      </w:pPr>
      <w:rPr>
        <w:rFonts w:ascii="Symbol" w:hAnsi="Symbol" w:hint="default"/>
      </w:rPr>
    </w:lvl>
    <w:lvl w:ilvl="4" w:tplc="D2DA91EC" w:tentative="1">
      <w:start w:val="1"/>
      <w:numFmt w:val="bullet"/>
      <w:lvlText w:val="o"/>
      <w:lvlJc w:val="left"/>
      <w:pPr>
        <w:ind w:left="3663" w:hanging="360"/>
      </w:pPr>
      <w:rPr>
        <w:rFonts w:ascii="Courier New" w:hAnsi="Courier New" w:cs="Courier New" w:hint="default"/>
      </w:rPr>
    </w:lvl>
    <w:lvl w:ilvl="5" w:tplc="7F6E0756" w:tentative="1">
      <w:start w:val="1"/>
      <w:numFmt w:val="bullet"/>
      <w:lvlText w:val=""/>
      <w:lvlJc w:val="left"/>
      <w:pPr>
        <w:ind w:left="4383" w:hanging="360"/>
      </w:pPr>
      <w:rPr>
        <w:rFonts w:ascii="Wingdings" w:hAnsi="Wingdings" w:hint="default"/>
      </w:rPr>
    </w:lvl>
    <w:lvl w:ilvl="6" w:tplc="A8BE328E" w:tentative="1">
      <w:start w:val="1"/>
      <w:numFmt w:val="bullet"/>
      <w:lvlText w:val=""/>
      <w:lvlJc w:val="left"/>
      <w:pPr>
        <w:ind w:left="5103" w:hanging="360"/>
      </w:pPr>
      <w:rPr>
        <w:rFonts w:ascii="Symbol" w:hAnsi="Symbol" w:hint="default"/>
      </w:rPr>
    </w:lvl>
    <w:lvl w:ilvl="7" w:tplc="FC22411C" w:tentative="1">
      <w:start w:val="1"/>
      <w:numFmt w:val="bullet"/>
      <w:lvlText w:val="o"/>
      <w:lvlJc w:val="left"/>
      <w:pPr>
        <w:ind w:left="5823" w:hanging="360"/>
      </w:pPr>
      <w:rPr>
        <w:rFonts w:ascii="Courier New" w:hAnsi="Courier New" w:cs="Courier New" w:hint="default"/>
      </w:rPr>
    </w:lvl>
    <w:lvl w:ilvl="8" w:tplc="405A45AC" w:tentative="1">
      <w:start w:val="1"/>
      <w:numFmt w:val="bullet"/>
      <w:lvlText w:val=""/>
      <w:lvlJc w:val="left"/>
      <w:pPr>
        <w:ind w:left="6543" w:hanging="360"/>
      </w:pPr>
      <w:rPr>
        <w:rFonts w:ascii="Wingdings" w:hAnsi="Wingdings" w:hint="default"/>
      </w:rPr>
    </w:lvl>
  </w:abstractNum>
  <w:abstractNum w:abstractNumId="6" w15:restartNumberingAfterBreak="0">
    <w:nsid w:val="6A40694A"/>
    <w:multiLevelType w:val="hybridMultilevel"/>
    <w:tmpl w:val="0C627082"/>
    <w:lvl w:ilvl="0" w:tplc="71287770">
      <w:start w:val="1"/>
      <w:numFmt w:val="bullet"/>
      <w:lvlText w:val=""/>
      <w:lvlJc w:val="left"/>
      <w:pPr>
        <w:tabs>
          <w:tab w:val="num" w:pos="720"/>
        </w:tabs>
        <w:ind w:left="720" w:hanging="360"/>
      </w:pPr>
      <w:rPr>
        <w:rFonts w:ascii="Symbol" w:hAnsi="Symbol" w:hint="default"/>
      </w:rPr>
    </w:lvl>
    <w:lvl w:ilvl="1" w:tplc="7F5A3EC2" w:tentative="1">
      <w:start w:val="1"/>
      <w:numFmt w:val="bullet"/>
      <w:lvlText w:val="o"/>
      <w:lvlJc w:val="left"/>
      <w:pPr>
        <w:ind w:left="1440" w:hanging="360"/>
      </w:pPr>
      <w:rPr>
        <w:rFonts w:ascii="Courier New" w:hAnsi="Courier New" w:cs="Courier New" w:hint="default"/>
      </w:rPr>
    </w:lvl>
    <w:lvl w:ilvl="2" w:tplc="10E44DA0" w:tentative="1">
      <w:start w:val="1"/>
      <w:numFmt w:val="bullet"/>
      <w:lvlText w:val=""/>
      <w:lvlJc w:val="left"/>
      <w:pPr>
        <w:ind w:left="2160" w:hanging="360"/>
      </w:pPr>
      <w:rPr>
        <w:rFonts w:ascii="Wingdings" w:hAnsi="Wingdings" w:hint="default"/>
      </w:rPr>
    </w:lvl>
    <w:lvl w:ilvl="3" w:tplc="439E95A8" w:tentative="1">
      <w:start w:val="1"/>
      <w:numFmt w:val="bullet"/>
      <w:lvlText w:val=""/>
      <w:lvlJc w:val="left"/>
      <w:pPr>
        <w:ind w:left="2880" w:hanging="360"/>
      </w:pPr>
      <w:rPr>
        <w:rFonts w:ascii="Symbol" w:hAnsi="Symbol" w:hint="default"/>
      </w:rPr>
    </w:lvl>
    <w:lvl w:ilvl="4" w:tplc="F91EA246" w:tentative="1">
      <w:start w:val="1"/>
      <w:numFmt w:val="bullet"/>
      <w:lvlText w:val="o"/>
      <w:lvlJc w:val="left"/>
      <w:pPr>
        <w:ind w:left="3600" w:hanging="360"/>
      </w:pPr>
      <w:rPr>
        <w:rFonts w:ascii="Courier New" w:hAnsi="Courier New" w:cs="Courier New" w:hint="default"/>
      </w:rPr>
    </w:lvl>
    <w:lvl w:ilvl="5" w:tplc="D8944D2C" w:tentative="1">
      <w:start w:val="1"/>
      <w:numFmt w:val="bullet"/>
      <w:lvlText w:val=""/>
      <w:lvlJc w:val="left"/>
      <w:pPr>
        <w:ind w:left="4320" w:hanging="360"/>
      </w:pPr>
      <w:rPr>
        <w:rFonts w:ascii="Wingdings" w:hAnsi="Wingdings" w:hint="default"/>
      </w:rPr>
    </w:lvl>
    <w:lvl w:ilvl="6" w:tplc="0C5C7406" w:tentative="1">
      <w:start w:val="1"/>
      <w:numFmt w:val="bullet"/>
      <w:lvlText w:val=""/>
      <w:lvlJc w:val="left"/>
      <w:pPr>
        <w:ind w:left="5040" w:hanging="360"/>
      </w:pPr>
      <w:rPr>
        <w:rFonts w:ascii="Symbol" w:hAnsi="Symbol" w:hint="default"/>
      </w:rPr>
    </w:lvl>
    <w:lvl w:ilvl="7" w:tplc="995CE234" w:tentative="1">
      <w:start w:val="1"/>
      <w:numFmt w:val="bullet"/>
      <w:lvlText w:val="o"/>
      <w:lvlJc w:val="left"/>
      <w:pPr>
        <w:ind w:left="5760" w:hanging="360"/>
      </w:pPr>
      <w:rPr>
        <w:rFonts w:ascii="Courier New" w:hAnsi="Courier New" w:cs="Courier New" w:hint="default"/>
      </w:rPr>
    </w:lvl>
    <w:lvl w:ilvl="8" w:tplc="8002343C" w:tentative="1">
      <w:start w:val="1"/>
      <w:numFmt w:val="bullet"/>
      <w:lvlText w:val=""/>
      <w:lvlJc w:val="left"/>
      <w:pPr>
        <w:ind w:left="6480" w:hanging="360"/>
      </w:pPr>
      <w:rPr>
        <w:rFonts w:ascii="Wingdings" w:hAnsi="Wingdings" w:hint="default"/>
      </w:rPr>
    </w:lvl>
  </w:abstractNum>
  <w:num w:numId="1" w16cid:durableId="1887254346">
    <w:abstractNumId w:val="1"/>
  </w:num>
  <w:num w:numId="2" w16cid:durableId="728502077">
    <w:abstractNumId w:val="3"/>
  </w:num>
  <w:num w:numId="3" w16cid:durableId="850994840">
    <w:abstractNumId w:val="4"/>
  </w:num>
  <w:num w:numId="4" w16cid:durableId="300354029">
    <w:abstractNumId w:val="2"/>
  </w:num>
  <w:num w:numId="5" w16cid:durableId="1959674645">
    <w:abstractNumId w:val="0"/>
  </w:num>
  <w:num w:numId="6" w16cid:durableId="1082524842">
    <w:abstractNumId w:val="6"/>
  </w:num>
  <w:num w:numId="7" w16cid:durableId="1800761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67"/>
    <w:rsid w:val="00000A70"/>
    <w:rsid w:val="000032B8"/>
    <w:rsid w:val="00003A4D"/>
    <w:rsid w:val="00003B06"/>
    <w:rsid w:val="000054B9"/>
    <w:rsid w:val="00007461"/>
    <w:rsid w:val="0001117E"/>
    <w:rsid w:val="0001125F"/>
    <w:rsid w:val="0001338E"/>
    <w:rsid w:val="00013D24"/>
    <w:rsid w:val="00014AF0"/>
    <w:rsid w:val="00015599"/>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A25"/>
    <w:rsid w:val="000555E0"/>
    <w:rsid w:val="00055C12"/>
    <w:rsid w:val="000608B0"/>
    <w:rsid w:val="00060F67"/>
    <w:rsid w:val="0006104C"/>
    <w:rsid w:val="00064BF2"/>
    <w:rsid w:val="000667BA"/>
    <w:rsid w:val="000676A7"/>
    <w:rsid w:val="00073914"/>
    <w:rsid w:val="00074236"/>
    <w:rsid w:val="000746BD"/>
    <w:rsid w:val="00076D7D"/>
    <w:rsid w:val="00080D95"/>
    <w:rsid w:val="00080EE3"/>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BC1"/>
    <w:rsid w:val="000C6DC1"/>
    <w:rsid w:val="000C6E20"/>
    <w:rsid w:val="000C76D7"/>
    <w:rsid w:val="000C7F1D"/>
    <w:rsid w:val="000D2EBA"/>
    <w:rsid w:val="000D32A1"/>
    <w:rsid w:val="000D3725"/>
    <w:rsid w:val="000D46E5"/>
    <w:rsid w:val="000D769C"/>
    <w:rsid w:val="000E1976"/>
    <w:rsid w:val="000E20F1"/>
    <w:rsid w:val="000E33DF"/>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7B2"/>
    <w:rsid w:val="00115EE9"/>
    <w:rsid w:val="001169F9"/>
    <w:rsid w:val="0011789B"/>
    <w:rsid w:val="00120797"/>
    <w:rsid w:val="001218D2"/>
    <w:rsid w:val="0012371B"/>
    <w:rsid w:val="001245C8"/>
    <w:rsid w:val="00124653"/>
    <w:rsid w:val="001247C5"/>
    <w:rsid w:val="00127893"/>
    <w:rsid w:val="001312BB"/>
    <w:rsid w:val="00137D90"/>
    <w:rsid w:val="00141FB6"/>
    <w:rsid w:val="00142F8E"/>
    <w:rsid w:val="00143C8B"/>
    <w:rsid w:val="00147530"/>
    <w:rsid w:val="0015216C"/>
    <w:rsid w:val="0015331F"/>
    <w:rsid w:val="00156AB2"/>
    <w:rsid w:val="00160402"/>
    <w:rsid w:val="00160571"/>
    <w:rsid w:val="00161E93"/>
    <w:rsid w:val="00162C7A"/>
    <w:rsid w:val="00162DAE"/>
    <w:rsid w:val="00163780"/>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35C"/>
    <w:rsid w:val="001B053A"/>
    <w:rsid w:val="001B1FB3"/>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0D12"/>
    <w:rsid w:val="002010D1"/>
    <w:rsid w:val="00201338"/>
    <w:rsid w:val="0020775D"/>
    <w:rsid w:val="002116DD"/>
    <w:rsid w:val="0021383D"/>
    <w:rsid w:val="0021522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8C3"/>
    <w:rsid w:val="00247D27"/>
    <w:rsid w:val="00250A50"/>
    <w:rsid w:val="00251ED5"/>
    <w:rsid w:val="00255EB6"/>
    <w:rsid w:val="00257429"/>
    <w:rsid w:val="00260FA4"/>
    <w:rsid w:val="00261183"/>
    <w:rsid w:val="00262A66"/>
    <w:rsid w:val="00263140"/>
    <w:rsid w:val="002631C8"/>
    <w:rsid w:val="00265133"/>
    <w:rsid w:val="00265A23"/>
    <w:rsid w:val="00266DD6"/>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11C"/>
    <w:rsid w:val="002B26DD"/>
    <w:rsid w:val="002B2870"/>
    <w:rsid w:val="002B391B"/>
    <w:rsid w:val="002B5B42"/>
    <w:rsid w:val="002B7BA7"/>
    <w:rsid w:val="002C11E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FA0"/>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3A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C6B"/>
    <w:rsid w:val="00423FBC"/>
    <w:rsid w:val="004241AA"/>
    <w:rsid w:val="0042422E"/>
    <w:rsid w:val="0043190E"/>
    <w:rsid w:val="004324E9"/>
    <w:rsid w:val="004350F3"/>
    <w:rsid w:val="00436980"/>
    <w:rsid w:val="00441016"/>
    <w:rsid w:val="00441F2F"/>
    <w:rsid w:val="0044217A"/>
    <w:rsid w:val="0044228B"/>
    <w:rsid w:val="004424FC"/>
    <w:rsid w:val="00447018"/>
    <w:rsid w:val="00450561"/>
    <w:rsid w:val="00450A40"/>
    <w:rsid w:val="00451D7C"/>
    <w:rsid w:val="00452FC3"/>
    <w:rsid w:val="00454715"/>
    <w:rsid w:val="00455936"/>
    <w:rsid w:val="00455ACE"/>
    <w:rsid w:val="00461B69"/>
    <w:rsid w:val="00462B3D"/>
    <w:rsid w:val="00462F43"/>
    <w:rsid w:val="004656D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61B"/>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7B6"/>
    <w:rsid w:val="00522D3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4BA"/>
    <w:rsid w:val="005666D5"/>
    <w:rsid w:val="005669A7"/>
    <w:rsid w:val="00573401"/>
    <w:rsid w:val="00576714"/>
    <w:rsid w:val="0057685A"/>
    <w:rsid w:val="005779B9"/>
    <w:rsid w:val="005832EE"/>
    <w:rsid w:val="005847EF"/>
    <w:rsid w:val="00585068"/>
    <w:rsid w:val="005851E6"/>
    <w:rsid w:val="005878B7"/>
    <w:rsid w:val="00592C9A"/>
    <w:rsid w:val="00593DF8"/>
    <w:rsid w:val="00594263"/>
    <w:rsid w:val="00595745"/>
    <w:rsid w:val="005A0E18"/>
    <w:rsid w:val="005A12A5"/>
    <w:rsid w:val="005A3790"/>
    <w:rsid w:val="005A3CCB"/>
    <w:rsid w:val="005A6D13"/>
    <w:rsid w:val="005B031F"/>
    <w:rsid w:val="005B3298"/>
    <w:rsid w:val="005B3C13"/>
    <w:rsid w:val="005B5516"/>
    <w:rsid w:val="005B5D2B"/>
    <w:rsid w:val="005B73F6"/>
    <w:rsid w:val="005C1229"/>
    <w:rsid w:val="005C1496"/>
    <w:rsid w:val="005C17C5"/>
    <w:rsid w:val="005C2B21"/>
    <w:rsid w:val="005C2C00"/>
    <w:rsid w:val="005C4C6F"/>
    <w:rsid w:val="005C5127"/>
    <w:rsid w:val="005C7CCB"/>
    <w:rsid w:val="005D1444"/>
    <w:rsid w:val="005D4DAE"/>
    <w:rsid w:val="005D767D"/>
    <w:rsid w:val="005D7A30"/>
    <w:rsid w:val="005D7D3B"/>
    <w:rsid w:val="005D7F50"/>
    <w:rsid w:val="005E1999"/>
    <w:rsid w:val="005E232C"/>
    <w:rsid w:val="005E2B83"/>
    <w:rsid w:val="005E4AEB"/>
    <w:rsid w:val="005E738F"/>
    <w:rsid w:val="005E788B"/>
    <w:rsid w:val="005F1519"/>
    <w:rsid w:val="005F4862"/>
    <w:rsid w:val="005F4EAC"/>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021"/>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82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3F26"/>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274"/>
    <w:rsid w:val="0073163C"/>
    <w:rsid w:val="00731DE3"/>
    <w:rsid w:val="00735B9D"/>
    <w:rsid w:val="007365A5"/>
    <w:rsid w:val="00736FB0"/>
    <w:rsid w:val="007404BC"/>
    <w:rsid w:val="00740D13"/>
    <w:rsid w:val="00740F5F"/>
    <w:rsid w:val="0074130E"/>
    <w:rsid w:val="00742794"/>
    <w:rsid w:val="00743C4C"/>
    <w:rsid w:val="007445B7"/>
    <w:rsid w:val="00744920"/>
    <w:rsid w:val="007509BE"/>
    <w:rsid w:val="0075287B"/>
    <w:rsid w:val="007537BC"/>
    <w:rsid w:val="00755C7B"/>
    <w:rsid w:val="00761B99"/>
    <w:rsid w:val="00764786"/>
    <w:rsid w:val="00766E12"/>
    <w:rsid w:val="0077098E"/>
    <w:rsid w:val="00771287"/>
    <w:rsid w:val="0077149E"/>
    <w:rsid w:val="00774726"/>
    <w:rsid w:val="00777518"/>
    <w:rsid w:val="0077779E"/>
    <w:rsid w:val="00780FB6"/>
    <w:rsid w:val="0078552A"/>
    <w:rsid w:val="00785729"/>
    <w:rsid w:val="00786058"/>
    <w:rsid w:val="00790A57"/>
    <w:rsid w:val="0079487D"/>
    <w:rsid w:val="007966D4"/>
    <w:rsid w:val="00796927"/>
    <w:rsid w:val="00796A0A"/>
    <w:rsid w:val="0079792C"/>
    <w:rsid w:val="007A0989"/>
    <w:rsid w:val="007A331F"/>
    <w:rsid w:val="007A3844"/>
    <w:rsid w:val="007A4381"/>
    <w:rsid w:val="007A5466"/>
    <w:rsid w:val="007A7EC1"/>
    <w:rsid w:val="007B4B9C"/>
    <w:rsid w:val="007B4FCA"/>
    <w:rsid w:val="007B7B85"/>
    <w:rsid w:val="007C0B8D"/>
    <w:rsid w:val="007C462E"/>
    <w:rsid w:val="007C4774"/>
    <w:rsid w:val="007C496B"/>
    <w:rsid w:val="007C6803"/>
    <w:rsid w:val="007C727D"/>
    <w:rsid w:val="007D2892"/>
    <w:rsid w:val="007D2DCC"/>
    <w:rsid w:val="007D47E1"/>
    <w:rsid w:val="007D7FCB"/>
    <w:rsid w:val="007E2734"/>
    <w:rsid w:val="007E33B6"/>
    <w:rsid w:val="007E59E8"/>
    <w:rsid w:val="007F2461"/>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45C"/>
    <w:rsid w:val="0084176D"/>
    <w:rsid w:val="008423E4"/>
    <w:rsid w:val="00842900"/>
    <w:rsid w:val="008507A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5C"/>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9FD"/>
    <w:rsid w:val="008E3338"/>
    <w:rsid w:val="008E364F"/>
    <w:rsid w:val="008E47BE"/>
    <w:rsid w:val="008F0032"/>
    <w:rsid w:val="008F09DF"/>
    <w:rsid w:val="008F0A00"/>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73F"/>
    <w:rsid w:val="0099403D"/>
    <w:rsid w:val="00995B0B"/>
    <w:rsid w:val="009A1883"/>
    <w:rsid w:val="009A39F5"/>
    <w:rsid w:val="009A3A93"/>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23"/>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E46"/>
    <w:rsid w:val="00A220FF"/>
    <w:rsid w:val="00A227E0"/>
    <w:rsid w:val="00A22F0F"/>
    <w:rsid w:val="00A232E4"/>
    <w:rsid w:val="00A24AAD"/>
    <w:rsid w:val="00A26A8A"/>
    <w:rsid w:val="00A27255"/>
    <w:rsid w:val="00A32304"/>
    <w:rsid w:val="00A3420E"/>
    <w:rsid w:val="00A35D66"/>
    <w:rsid w:val="00A41085"/>
    <w:rsid w:val="00A425FA"/>
    <w:rsid w:val="00A43960"/>
    <w:rsid w:val="00A44E91"/>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BEE"/>
    <w:rsid w:val="00A8133F"/>
    <w:rsid w:val="00A82CB4"/>
    <w:rsid w:val="00A837A8"/>
    <w:rsid w:val="00A83C36"/>
    <w:rsid w:val="00A932BB"/>
    <w:rsid w:val="00A93579"/>
    <w:rsid w:val="00A93934"/>
    <w:rsid w:val="00A95D51"/>
    <w:rsid w:val="00AA18AE"/>
    <w:rsid w:val="00AA228B"/>
    <w:rsid w:val="00AA597A"/>
    <w:rsid w:val="00AA66AD"/>
    <w:rsid w:val="00AA67A3"/>
    <w:rsid w:val="00AA6C20"/>
    <w:rsid w:val="00AA7E52"/>
    <w:rsid w:val="00AB1655"/>
    <w:rsid w:val="00AB1873"/>
    <w:rsid w:val="00AB2C05"/>
    <w:rsid w:val="00AB3154"/>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41A"/>
    <w:rsid w:val="00B233BB"/>
    <w:rsid w:val="00B25612"/>
    <w:rsid w:val="00B26437"/>
    <w:rsid w:val="00B2678E"/>
    <w:rsid w:val="00B30647"/>
    <w:rsid w:val="00B31F0E"/>
    <w:rsid w:val="00B34F25"/>
    <w:rsid w:val="00B36923"/>
    <w:rsid w:val="00B37A46"/>
    <w:rsid w:val="00B400E4"/>
    <w:rsid w:val="00B40AAA"/>
    <w:rsid w:val="00B43672"/>
    <w:rsid w:val="00B473D8"/>
    <w:rsid w:val="00B5165A"/>
    <w:rsid w:val="00B524C1"/>
    <w:rsid w:val="00B52C8D"/>
    <w:rsid w:val="00B52C9E"/>
    <w:rsid w:val="00B564BF"/>
    <w:rsid w:val="00B6104E"/>
    <w:rsid w:val="00B610C7"/>
    <w:rsid w:val="00B62106"/>
    <w:rsid w:val="00B626A8"/>
    <w:rsid w:val="00B65695"/>
    <w:rsid w:val="00B66526"/>
    <w:rsid w:val="00B665A3"/>
    <w:rsid w:val="00B70E0D"/>
    <w:rsid w:val="00B73BB4"/>
    <w:rsid w:val="00B80532"/>
    <w:rsid w:val="00B82039"/>
    <w:rsid w:val="00B82454"/>
    <w:rsid w:val="00B90097"/>
    <w:rsid w:val="00B90999"/>
    <w:rsid w:val="00B91AD7"/>
    <w:rsid w:val="00B92D23"/>
    <w:rsid w:val="00B939B5"/>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AB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DC1"/>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0F4"/>
    <w:rsid w:val="00C72956"/>
    <w:rsid w:val="00C73045"/>
    <w:rsid w:val="00C73212"/>
    <w:rsid w:val="00C7354A"/>
    <w:rsid w:val="00C74379"/>
    <w:rsid w:val="00C74DD8"/>
    <w:rsid w:val="00C74E10"/>
    <w:rsid w:val="00C75C5E"/>
    <w:rsid w:val="00C7669F"/>
    <w:rsid w:val="00C76DFF"/>
    <w:rsid w:val="00C80B8F"/>
    <w:rsid w:val="00C82743"/>
    <w:rsid w:val="00C834CE"/>
    <w:rsid w:val="00C902C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140"/>
    <w:rsid w:val="00CF4827"/>
    <w:rsid w:val="00CF4C69"/>
    <w:rsid w:val="00CF581C"/>
    <w:rsid w:val="00CF71E0"/>
    <w:rsid w:val="00D001B1"/>
    <w:rsid w:val="00D03176"/>
    <w:rsid w:val="00D060A8"/>
    <w:rsid w:val="00D06605"/>
    <w:rsid w:val="00D0720F"/>
    <w:rsid w:val="00D074E2"/>
    <w:rsid w:val="00D11B0B"/>
    <w:rsid w:val="00D12A3E"/>
    <w:rsid w:val="00D145B8"/>
    <w:rsid w:val="00D16D5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E1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0B2"/>
    <w:rsid w:val="00DC51ED"/>
    <w:rsid w:val="00DC6DBB"/>
    <w:rsid w:val="00DC7761"/>
    <w:rsid w:val="00DD0022"/>
    <w:rsid w:val="00DD073C"/>
    <w:rsid w:val="00DD128C"/>
    <w:rsid w:val="00DD1B8F"/>
    <w:rsid w:val="00DD5BCC"/>
    <w:rsid w:val="00DD5C2E"/>
    <w:rsid w:val="00DD7509"/>
    <w:rsid w:val="00DD79C7"/>
    <w:rsid w:val="00DD7D6E"/>
    <w:rsid w:val="00DE34B2"/>
    <w:rsid w:val="00DE49DE"/>
    <w:rsid w:val="00DE618B"/>
    <w:rsid w:val="00DE6EC2"/>
    <w:rsid w:val="00DF0834"/>
    <w:rsid w:val="00DF0873"/>
    <w:rsid w:val="00DF2707"/>
    <w:rsid w:val="00DF4D90"/>
    <w:rsid w:val="00DF5EBD"/>
    <w:rsid w:val="00DF6BA8"/>
    <w:rsid w:val="00DF77F6"/>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7A5"/>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23E"/>
    <w:rsid w:val="00E667F3"/>
    <w:rsid w:val="00E66879"/>
    <w:rsid w:val="00E67794"/>
    <w:rsid w:val="00E70CC6"/>
    <w:rsid w:val="00E71254"/>
    <w:rsid w:val="00E725BA"/>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7F9"/>
    <w:rsid w:val="00EA385A"/>
    <w:rsid w:val="00EA3931"/>
    <w:rsid w:val="00EA658E"/>
    <w:rsid w:val="00EA7A88"/>
    <w:rsid w:val="00EB27F2"/>
    <w:rsid w:val="00EB3928"/>
    <w:rsid w:val="00EB5373"/>
    <w:rsid w:val="00EC02A2"/>
    <w:rsid w:val="00EC379B"/>
    <w:rsid w:val="00EC37DF"/>
    <w:rsid w:val="00EC3A99"/>
    <w:rsid w:val="00EC41B1"/>
    <w:rsid w:val="00EC71FD"/>
    <w:rsid w:val="00ED0665"/>
    <w:rsid w:val="00ED092A"/>
    <w:rsid w:val="00ED12C0"/>
    <w:rsid w:val="00ED19F0"/>
    <w:rsid w:val="00ED2B50"/>
    <w:rsid w:val="00ED3A32"/>
    <w:rsid w:val="00ED3BDE"/>
    <w:rsid w:val="00ED68FB"/>
    <w:rsid w:val="00ED783A"/>
    <w:rsid w:val="00EE2E34"/>
    <w:rsid w:val="00EE2E91"/>
    <w:rsid w:val="00EE3370"/>
    <w:rsid w:val="00EE43A2"/>
    <w:rsid w:val="00EE46B7"/>
    <w:rsid w:val="00EE50B8"/>
    <w:rsid w:val="00EE5A49"/>
    <w:rsid w:val="00EE638D"/>
    <w:rsid w:val="00EE664B"/>
    <w:rsid w:val="00EF10BA"/>
    <w:rsid w:val="00EF1738"/>
    <w:rsid w:val="00EF2BAF"/>
    <w:rsid w:val="00EF3B8F"/>
    <w:rsid w:val="00EF543E"/>
    <w:rsid w:val="00EF559F"/>
    <w:rsid w:val="00EF5AA2"/>
    <w:rsid w:val="00EF7E26"/>
    <w:rsid w:val="00F01455"/>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FB9"/>
    <w:rsid w:val="00F345DA"/>
    <w:rsid w:val="00F3682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244"/>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3B306A-6842-47AF-8CEA-AE05A57D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4E91"/>
    <w:rPr>
      <w:sz w:val="16"/>
      <w:szCs w:val="16"/>
    </w:rPr>
  </w:style>
  <w:style w:type="paragraph" w:styleId="CommentText">
    <w:name w:val="annotation text"/>
    <w:basedOn w:val="Normal"/>
    <w:link w:val="CommentTextChar"/>
    <w:semiHidden/>
    <w:unhideWhenUsed/>
    <w:rsid w:val="00A44E91"/>
    <w:rPr>
      <w:sz w:val="20"/>
      <w:szCs w:val="20"/>
    </w:rPr>
  </w:style>
  <w:style w:type="character" w:customStyle="1" w:styleId="CommentTextChar">
    <w:name w:val="Comment Text Char"/>
    <w:basedOn w:val="DefaultParagraphFont"/>
    <w:link w:val="CommentText"/>
    <w:semiHidden/>
    <w:rsid w:val="00A44E91"/>
  </w:style>
  <w:style w:type="paragraph" w:styleId="CommentSubject">
    <w:name w:val="annotation subject"/>
    <w:basedOn w:val="CommentText"/>
    <w:next w:val="CommentText"/>
    <w:link w:val="CommentSubjectChar"/>
    <w:semiHidden/>
    <w:unhideWhenUsed/>
    <w:rsid w:val="00A44E91"/>
    <w:rPr>
      <w:b/>
      <w:bCs/>
    </w:rPr>
  </w:style>
  <w:style w:type="character" w:customStyle="1" w:styleId="CommentSubjectChar">
    <w:name w:val="Comment Subject Char"/>
    <w:basedOn w:val="CommentTextChar"/>
    <w:link w:val="CommentSubject"/>
    <w:semiHidden/>
    <w:rsid w:val="00A44E91"/>
    <w:rPr>
      <w:b/>
      <w:bCs/>
    </w:rPr>
  </w:style>
  <w:style w:type="paragraph" w:styleId="Revision">
    <w:name w:val="Revision"/>
    <w:hidden/>
    <w:uiPriority w:val="99"/>
    <w:semiHidden/>
    <w:rsid w:val="00F01455"/>
    <w:rPr>
      <w:sz w:val="24"/>
      <w:szCs w:val="24"/>
    </w:rPr>
  </w:style>
  <w:style w:type="paragraph" w:styleId="ListParagraph">
    <w:name w:val="List Paragraph"/>
    <w:basedOn w:val="Normal"/>
    <w:uiPriority w:val="34"/>
    <w:qFormat/>
    <w:rsid w:val="0057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8381</Characters>
  <Application>Microsoft Office Word</Application>
  <DocSecurity>4</DocSecurity>
  <Lines>171</Lines>
  <Paragraphs>60</Paragraphs>
  <ScaleCrop>false</ScaleCrop>
  <HeadingPairs>
    <vt:vector size="2" baseType="variant">
      <vt:variant>
        <vt:lpstr>Title</vt:lpstr>
      </vt:variant>
      <vt:variant>
        <vt:i4>1</vt:i4>
      </vt:variant>
    </vt:vector>
  </HeadingPairs>
  <TitlesOfParts>
    <vt:vector size="1" baseType="lpstr">
      <vt:lpstr>BA - HB03136 (Committee Report (Substituted))</vt:lpstr>
    </vt:vector>
  </TitlesOfParts>
  <Company>State of Texas</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23809</dc:subject>
  <dc:creator>State of Texas</dc:creator>
  <dc:description>HB 3136 by Campos-(H)Urban Affairs (Substitute Document Number: 88R 20892)</dc:description>
  <cp:lastModifiedBy>Stacey Nicchio</cp:lastModifiedBy>
  <cp:revision>2</cp:revision>
  <cp:lastPrinted>2003-11-26T17:21:00Z</cp:lastPrinted>
  <dcterms:created xsi:type="dcterms:W3CDTF">2023-04-21T22:43:00Z</dcterms:created>
  <dcterms:modified xsi:type="dcterms:W3CDTF">2023-04-21T22:43:00Z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23.105.637</vt:lpwstr>
  </property>
</Properties>
</file>