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03200" w14:paraId="015702A7" w14:textId="77777777" w:rsidTr="00345119">
        <w:tc>
          <w:tcPr>
            <w:tcW w:w="9576" w:type="dxa"/>
            <w:noWrap/>
          </w:tcPr>
          <w:p w14:paraId="4FFB9384" w14:textId="77777777" w:rsidR="008423E4" w:rsidRPr="0022177D" w:rsidRDefault="008A44AF" w:rsidP="00F37717">
            <w:pPr>
              <w:pStyle w:val="Heading1"/>
            </w:pPr>
            <w:r w:rsidRPr="00631897">
              <w:t>BILL ANALYSIS</w:t>
            </w:r>
          </w:p>
        </w:tc>
      </w:tr>
    </w:tbl>
    <w:p w14:paraId="020D7007" w14:textId="77777777" w:rsidR="008423E4" w:rsidRPr="0022177D" w:rsidRDefault="008423E4" w:rsidP="00F37717">
      <w:pPr>
        <w:jc w:val="center"/>
      </w:pPr>
    </w:p>
    <w:p w14:paraId="588F683A" w14:textId="77777777" w:rsidR="008423E4" w:rsidRPr="00B31F0E" w:rsidRDefault="008423E4" w:rsidP="00F37717"/>
    <w:p w14:paraId="109E5A71" w14:textId="77777777" w:rsidR="008423E4" w:rsidRPr="00742794" w:rsidRDefault="008423E4" w:rsidP="00F3771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03200" w14:paraId="75643476" w14:textId="77777777" w:rsidTr="00345119">
        <w:tc>
          <w:tcPr>
            <w:tcW w:w="9576" w:type="dxa"/>
          </w:tcPr>
          <w:p w14:paraId="2600525B" w14:textId="5AA6F557" w:rsidR="008423E4" w:rsidRPr="00861995" w:rsidRDefault="008A44AF" w:rsidP="00F37717">
            <w:pPr>
              <w:jc w:val="right"/>
            </w:pPr>
            <w:r>
              <w:t>H.B. 3145</w:t>
            </w:r>
          </w:p>
        </w:tc>
      </w:tr>
      <w:tr w:rsidR="00E03200" w14:paraId="75D8445B" w14:textId="77777777" w:rsidTr="00345119">
        <w:tc>
          <w:tcPr>
            <w:tcW w:w="9576" w:type="dxa"/>
          </w:tcPr>
          <w:p w14:paraId="203D970B" w14:textId="521EE1E5" w:rsidR="008423E4" w:rsidRPr="00861995" w:rsidRDefault="008A44AF" w:rsidP="00F37717">
            <w:pPr>
              <w:jc w:val="right"/>
            </w:pPr>
            <w:r>
              <w:t xml:space="preserve">By: </w:t>
            </w:r>
            <w:r w:rsidR="00995C9D">
              <w:t>Jetton</w:t>
            </w:r>
          </w:p>
        </w:tc>
      </w:tr>
      <w:tr w:rsidR="00E03200" w14:paraId="50E9C5D9" w14:textId="77777777" w:rsidTr="00345119">
        <w:tc>
          <w:tcPr>
            <w:tcW w:w="9576" w:type="dxa"/>
          </w:tcPr>
          <w:p w14:paraId="04C33C37" w14:textId="05CCFF7D" w:rsidR="008423E4" w:rsidRPr="00861995" w:rsidRDefault="008A44AF" w:rsidP="00F37717">
            <w:pPr>
              <w:jc w:val="right"/>
            </w:pPr>
            <w:r>
              <w:t>Judiciary &amp; Civil Jurisprudence</w:t>
            </w:r>
          </w:p>
        </w:tc>
      </w:tr>
      <w:tr w:rsidR="00E03200" w14:paraId="5053027E" w14:textId="77777777" w:rsidTr="00345119">
        <w:tc>
          <w:tcPr>
            <w:tcW w:w="9576" w:type="dxa"/>
          </w:tcPr>
          <w:p w14:paraId="3357F4B1" w14:textId="2472041A" w:rsidR="008423E4" w:rsidRDefault="008A44AF" w:rsidP="00F37717">
            <w:pPr>
              <w:jc w:val="right"/>
            </w:pPr>
            <w:r>
              <w:t>Committee Report (Unamended)</w:t>
            </w:r>
          </w:p>
        </w:tc>
      </w:tr>
    </w:tbl>
    <w:p w14:paraId="1B936D99" w14:textId="77777777" w:rsidR="008423E4" w:rsidRDefault="008423E4" w:rsidP="00F37717">
      <w:pPr>
        <w:tabs>
          <w:tab w:val="right" w:pos="9360"/>
        </w:tabs>
      </w:pPr>
    </w:p>
    <w:p w14:paraId="01E0478D" w14:textId="77777777" w:rsidR="008423E4" w:rsidRDefault="008423E4" w:rsidP="00F37717"/>
    <w:p w14:paraId="14258BD8" w14:textId="77777777" w:rsidR="008423E4" w:rsidRDefault="008423E4" w:rsidP="00F3771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03200" w14:paraId="15147787" w14:textId="77777777" w:rsidTr="00345119">
        <w:tc>
          <w:tcPr>
            <w:tcW w:w="9576" w:type="dxa"/>
          </w:tcPr>
          <w:p w14:paraId="7F72A9F8" w14:textId="77777777" w:rsidR="008423E4" w:rsidRPr="00A8133F" w:rsidRDefault="008A44AF" w:rsidP="00F3771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CEF9164" w14:textId="77777777" w:rsidR="008423E4" w:rsidRDefault="008423E4" w:rsidP="00F37717"/>
          <w:p w14:paraId="3DA9A4BC" w14:textId="31A2FBEC" w:rsidR="008423E4" w:rsidRDefault="008A44AF" w:rsidP="00F3771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B55E9">
              <w:t>There are currently inefficiencies in the State Commission on Judicial Conduct</w:t>
            </w:r>
            <w:r>
              <w:t xml:space="preserve"> (SCJC) that </w:t>
            </w:r>
            <w:r w:rsidRPr="002B55E9">
              <w:t xml:space="preserve">hinder its ability to </w:t>
            </w:r>
            <w:r w:rsidRPr="002B55E9">
              <w:t>handle filed complaints optimally.</w:t>
            </w:r>
            <w:r>
              <w:t xml:space="preserve"> H.B.</w:t>
            </w:r>
            <w:r w:rsidRPr="002B55E9">
              <w:t xml:space="preserve"> 3145 </w:t>
            </w:r>
            <w:r>
              <w:t xml:space="preserve">seeks </w:t>
            </w:r>
            <w:r w:rsidRPr="002B55E9">
              <w:t>to increase</w:t>
            </w:r>
            <w:r w:rsidR="005230F2">
              <w:t xml:space="preserve"> the</w:t>
            </w:r>
            <w:r w:rsidRPr="002B55E9">
              <w:t xml:space="preserve"> SCJC</w:t>
            </w:r>
            <w:r>
              <w:t xml:space="preserve">'s </w:t>
            </w:r>
            <w:r w:rsidRPr="002B55E9">
              <w:t>efficiency</w:t>
            </w:r>
            <w:r>
              <w:t xml:space="preserve"> and expedience in handling </w:t>
            </w:r>
            <w:r w:rsidRPr="002B55E9">
              <w:t>complaints by updating the process by which SCJC staff and members deal with them</w:t>
            </w:r>
            <w:r>
              <w:t>, including by imposing</w:t>
            </w:r>
            <w:r w:rsidRPr="002B55E9">
              <w:t xml:space="preserve"> deadlines </w:t>
            </w:r>
            <w:r>
              <w:t xml:space="preserve">for the process and </w:t>
            </w:r>
            <w:r w:rsidRPr="002B55E9">
              <w:t>requiring</w:t>
            </w:r>
            <w:r w:rsidRPr="002B55E9">
              <w:t xml:space="preserve"> </w:t>
            </w:r>
            <w:r w:rsidR="005230F2">
              <w:t xml:space="preserve">the </w:t>
            </w:r>
            <w:r>
              <w:t>SCJC</w:t>
            </w:r>
            <w:r w:rsidRPr="002B55E9">
              <w:t xml:space="preserve"> to conduct preliminary investigation</w:t>
            </w:r>
            <w:r>
              <w:t>s</w:t>
            </w:r>
            <w:r w:rsidR="00A15A58">
              <w:t xml:space="preserve">. H.B. 3145 </w:t>
            </w:r>
            <w:r w:rsidRPr="002B55E9">
              <w:t xml:space="preserve">also increases transparency by requiring the </w:t>
            </w:r>
            <w:r w:rsidR="00A15A58">
              <w:t>SCJC</w:t>
            </w:r>
            <w:r w:rsidR="00A15A58" w:rsidRPr="002B55E9">
              <w:t xml:space="preserve"> </w:t>
            </w:r>
            <w:r w:rsidRPr="002B55E9">
              <w:t>to periodically provide written notice to the judges who are the subjects of</w:t>
            </w:r>
            <w:r w:rsidR="00A15A58">
              <w:t xml:space="preserve"> such</w:t>
            </w:r>
            <w:r w:rsidRPr="002B55E9">
              <w:t xml:space="preserve"> complaints</w:t>
            </w:r>
            <w:r w:rsidR="00A15A58">
              <w:t>.</w:t>
            </w:r>
          </w:p>
          <w:p w14:paraId="3021A06E" w14:textId="77777777" w:rsidR="008423E4" w:rsidRPr="00E26B13" w:rsidRDefault="008423E4" w:rsidP="00F37717">
            <w:pPr>
              <w:rPr>
                <w:b/>
              </w:rPr>
            </w:pPr>
          </w:p>
        </w:tc>
      </w:tr>
      <w:tr w:rsidR="00E03200" w14:paraId="075592A4" w14:textId="77777777" w:rsidTr="00345119">
        <w:tc>
          <w:tcPr>
            <w:tcW w:w="9576" w:type="dxa"/>
          </w:tcPr>
          <w:p w14:paraId="4D3A282B" w14:textId="77777777" w:rsidR="0017725B" w:rsidRDefault="008A44AF" w:rsidP="00F3771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B23E751" w14:textId="77777777" w:rsidR="0017725B" w:rsidRDefault="0017725B" w:rsidP="00F37717">
            <w:pPr>
              <w:rPr>
                <w:b/>
                <w:u w:val="single"/>
              </w:rPr>
            </w:pPr>
          </w:p>
          <w:p w14:paraId="60DA9AF6" w14:textId="3D77ABE7" w:rsidR="00A60220" w:rsidRPr="00A60220" w:rsidRDefault="008A44AF" w:rsidP="00F37717">
            <w:pPr>
              <w:jc w:val="both"/>
            </w:pPr>
            <w:r>
              <w:t>It is the committee's opin</w:t>
            </w:r>
            <w:r>
              <w:t>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02014F8D" w14:textId="77777777" w:rsidR="0017725B" w:rsidRPr="0017725B" w:rsidRDefault="0017725B" w:rsidP="00F37717">
            <w:pPr>
              <w:rPr>
                <w:b/>
                <w:u w:val="single"/>
              </w:rPr>
            </w:pPr>
          </w:p>
        </w:tc>
      </w:tr>
      <w:tr w:rsidR="00E03200" w14:paraId="477B4281" w14:textId="77777777" w:rsidTr="00345119">
        <w:tc>
          <w:tcPr>
            <w:tcW w:w="9576" w:type="dxa"/>
          </w:tcPr>
          <w:p w14:paraId="78E75CD1" w14:textId="77777777" w:rsidR="008423E4" w:rsidRPr="00A8133F" w:rsidRDefault="008A44AF" w:rsidP="00F3771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EE0BA72" w14:textId="77777777" w:rsidR="008423E4" w:rsidRDefault="008423E4" w:rsidP="00F37717"/>
          <w:p w14:paraId="6F1F38EF" w14:textId="1BD80F41" w:rsidR="00A60220" w:rsidRDefault="008A44AF" w:rsidP="00F3771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708CBB3" w14:textId="77777777" w:rsidR="008423E4" w:rsidRPr="00E21FDC" w:rsidRDefault="008423E4" w:rsidP="00F37717">
            <w:pPr>
              <w:rPr>
                <w:b/>
              </w:rPr>
            </w:pPr>
          </w:p>
        </w:tc>
      </w:tr>
      <w:tr w:rsidR="00E03200" w14:paraId="4039952C" w14:textId="77777777" w:rsidTr="00345119">
        <w:tc>
          <w:tcPr>
            <w:tcW w:w="9576" w:type="dxa"/>
          </w:tcPr>
          <w:p w14:paraId="5EB33CB5" w14:textId="77777777" w:rsidR="008423E4" w:rsidRPr="00A8133F" w:rsidRDefault="008A44AF" w:rsidP="00F3771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D2CD089" w14:textId="77777777" w:rsidR="008423E4" w:rsidRDefault="008423E4" w:rsidP="00F37717"/>
          <w:p w14:paraId="5B48D702" w14:textId="5A88CF8C" w:rsidR="009C36CD" w:rsidRDefault="008A44AF" w:rsidP="00F3771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3145 amends the </w:t>
            </w:r>
            <w:r w:rsidRPr="00A60220">
              <w:t>Government Code</w:t>
            </w:r>
            <w:r>
              <w:t xml:space="preserve"> to require </w:t>
            </w:r>
            <w:r w:rsidR="00CD528D">
              <w:t xml:space="preserve">the staff of the </w:t>
            </w:r>
            <w:r w:rsidRPr="00A60220">
              <w:t>State Commission on Judicial Conduct</w:t>
            </w:r>
            <w:r>
              <w:t xml:space="preserve"> </w:t>
            </w:r>
            <w:r w:rsidRPr="00A60220">
              <w:t>(SCJC)</w:t>
            </w:r>
            <w:r>
              <w:t xml:space="preserve"> to </w:t>
            </w:r>
            <w:r w:rsidRPr="00A60220">
              <w:t xml:space="preserve">conduct a preliminary investigation of </w:t>
            </w:r>
            <w:r w:rsidR="00A415C7">
              <w:t>a</w:t>
            </w:r>
            <w:r w:rsidRPr="00A60220">
              <w:t xml:space="preserve"> complaint </w:t>
            </w:r>
            <w:r w:rsidR="00A415C7">
              <w:t xml:space="preserve">filed with </w:t>
            </w:r>
            <w:r w:rsidR="00B76F49">
              <w:t xml:space="preserve">the </w:t>
            </w:r>
            <w:r w:rsidR="00A415C7">
              <w:t xml:space="preserve">SCJC </w:t>
            </w:r>
            <w:r w:rsidRPr="00A60220">
              <w:t>and</w:t>
            </w:r>
            <w:r w:rsidR="00A415C7">
              <w:t xml:space="preserve"> to</w:t>
            </w:r>
            <w:r w:rsidRPr="00A60220">
              <w:t xml:space="preserve"> draft recommendations for SCJC action</w:t>
            </w:r>
            <w:r>
              <w:t>, a</w:t>
            </w:r>
            <w:r w:rsidRPr="00A60220">
              <w:t xml:space="preserve">s soon as practicable after </w:t>
            </w:r>
            <w:r w:rsidR="00A415C7">
              <w:t xml:space="preserve">the </w:t>
            </w:r>
            <w:r w:rsidRPr="00A60220">
              <w:t>complaint is filed</w:t>
            </w:r>
            <w:r w:rsidR="00A415C7">
              <w:t xml:space="preserve">. </w:t>
            </w:r>
            <w:r>
              <w:t>The bill r</w:t>
            </w:r>
            <w:r>
              <w:t xml:space="preserve">equires </w:t>
            </w:r>
            <w:r w:rsidRPr="00A60220">
              <w:t>SCJC staff</w:t>
            </w:r>
            <w:r>
              <w:t>, o</w:t>
            </w:r>
            <w:r w:rsidRPr="00A60220">
              <w:t>n completion of the preliminary investigation and submission of recommendations</w:t>
            </w:r>
            <w:r>
              <w:t xml:space="preserve"> for action, to provide to the judge who is the subject of the complaint written notice </w:t>
            </w:r>
            <w:r w:rsidR="00B85F51">
              <w:t>of the following:</w:t>
            </w:r>
          </w:p>
          <w:p w14:paraId="66A4BD7E" w14:textId="711CC9CA" w:rsidR="00B85F51" w:rsidRDefault="008A44AF" w:rsidP="00F3771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B85F51">
              <w:t>the complaint, the results of the preliminary inve</w:t>
            </w:r>
            <w:r w:rsidRPr="00B85F51">
              <w:t xml:space="preserve">stigation, and </w:t>
            </w:r>
            <w:r w:rsidR="00944D3E">
              <w:t>SCJC</w:t>
            </w:r>
            <w:r w:rsidRPr="00B85F51">
              <w:t xml:space="preserve"> staff's recommendations for action regarding the complaint; and</w:t>
            </w:r>
          </w:p>
          <w:p w14:paraId="2D405709" w14:textId="22132B0B" w:rsidR="00944D3E" w:rsidRDefault="008A44AF" w:rsidP="00F3771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B85F51">
              <w:t xml:space="preserve">the judge's right to attend each </w:t>
            </w:r>
            <w:r>
              <w:t>SCJC</w:t>
            </w:r>
            <w:r w:rsidRPr="00B85F51">
              <w:t xml:space="preserve"> meeting at which </w:t>
            </w:r>
            <w:r w:rsidR="00E50488">
              <w:t xml:space="preserve">the </w:t>
            </w:r>
            <w:r w:rsidRPr="00B85F51">
              <w:t>complaint is included in</w:t>
            </w:r>
            <w:r w:rsidR="00CD528D">
              <w:t xml:space="preserve"> the pre-meeting </w:t>
            </w:r>
            <w:r w:rsidRPr="00B85F51">
              <w:t xml:space="preserve">report filed with </w:t>
            </w:r>
            <w:r>
              <w:t>SCJC</w:t>
            </w:r>
            <w:r w:rsidRPr="00B85F51">
              <w:t xml:space="preserve"> members</w:t>
            </w:r>
            <w:r>
              <w:t>.</w:t>
            </w:r>
          </w:p>
          <w:p w14:paraId="4FEF4EF2" w14:textId="25894DCE" w:rsidR="00944D3E" w:rsidRDefault="00944D3E" w:rsidP="00F3771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D6A11E4" w14:textId="598F3176" w:rsidR="00C011DF" w:rsidRDefault="008A44AF" w:rsidP="00F3771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44D3E">
              <w:t>H.B. 3145</w:t>
            </w:r>
            <w:r>
              <w:t xml:space="preserve"> </w:t>
            </w:r>
            <w:r w:rsidR="00B76F49">
              <w:t xml:space="preserve">changes the deadline by which </w:t>
            </w:r>
            <w:r>
              <w:t>SCJC staff</w:t>
            </w:r>
            <w:r w:rsidR="00B76F49">
              <w:t xml:space="preserve"> must prepare and file with each SCJC member </w:t>
            </w:r>
            <w:r w:rsidR="00E50488">
              <w:t>a</w:t>
            </w:r>
            <w:r w:rsidR="00B76F49">
              <w:t xml:space="preserve"> report detailing </w:t>
            </w:r>
            <w:r w:rsidR="00E50488">
              <w:t>the investigation of the</w:t>
            </w:r>
            <w:r w:rsidR="00B76F49">
              <w:t xml:space="preserve"> complaint</w:t>
            </w:r>
            <w:r w:rsidR="00E50488">
              <w:t xml:space="preserve"> and recommended actions from not later than the </w:t>
            </w:r>
            <w:r w:rsidR="00E50488" w:rsidRPr="00E50488">
              <w:t xml:space="preserve">120th day after the date </w:t>
            </w:r>
            <w:r w:rsidR="00E50488">
              <w:t>the</w:t>
            </w:r>
            <w:r w:rsidR="00E50488" w:rsidRPr="00E50488">
              <w:t xml:space="preserve"> complaint is filed </w:t>
            </w:r>
            <w:r w:rsidR="00E50488">
              <w:t xml:space="preserve">to </w:t>
            </w:r>
            <w:r>
              <w:t xml:space="preserve">not later than the 10th business day </w:t>
            </w:r>
            <w:r>
              <w:t>before a scheduled SCJC meeting</w:t>
            </w:r>
            <w:r w:rsidR="00E50488">
              <w:t xml:space="preserve">. The bill requires the report to </w:t>
            </w:r>
            <w:r w:rsidR="0094200A">
              <w:t xml:space="preserve">detail </w:t>
            </w:r>
            <w:r w:rsidR="00B85F51">
              <w:t xml:space="preserve">each complaint for which a </w:t>
            </w:r>
            <w:r w:rsidR="00B85F51" w:rsidRPr="00B85F51">
              <w:t xml:space="preserve">preliminary investigation </w:t>
            </w:r>
            <w:r>
              <w:t>was</w:t>
            </w:r>
            <w:r w:rsidR="00B85F51" w:rsidRPr="00B85F51">
              <w:t xml:space="preserve"> conducted</w:t>
            </w:r>
            <w:r w:rsidR="00B85F51">
              <w:t xml:space="preserve"> but for which the investigation report has not been finalized</w:t>
            </w:r>
            <w:r w:rsidR="008251AC">
              <w:t xml:space="preserve">, the results of the preliminary investigation of the complaint, and </w:t>
            </w:r>
            <w:r w:rsidR="005230F2">
              <w:t xml:space="preserve">SCJC </w:t>
            </w:r>
            <w:r w:rsidR="008251AC">
              <w:t>staff</w:t>
            </w:r>
            <w:r w:rsidR="005230F2">
              <w:t>'</w:t>
            </w:r>
            <w:r w:rsidR="008251AC">
              <w:t xml:space="preserve">s recommendations for </w:t>
            </w:r>
            <w:r w:rsidR="005230F2">
              <w:t xml:space="preserve">SCJC </w:t>
            </w:r>
            <w:r w:rsidR="008251AC">
              <w:t>action regarding the complaint</w:t>
            </w:r>
            <w:r w:rsidR="0094200A">
              <w:t>.</w:t>
            </w:r>
            <w:r>
              <w:t xml:space="preserve"> </w:t>
            </w:r>
          </w:p>
          <w:p w14:paraId="22625CD5" w14:textId="77777777" w:rsidR="00C011DF" w:rsidRDefault="00C011DF" w:rsidP="00F3771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7D28FBC" w14:textId="5E423A32" w:rsidR="00B85F51" w:rsidRDefault="008A44AF" w:rsidP="00F3771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3145 changes the deadline</w:t>
            </w:r>
            <w:r w:rsidR="0094200A">
              <w:t xml:space="preserve"> by which the SCJC must finalize the investigation report and determine any action to be taken regarding the complaint</w:t>
            </w:r>
            <w:r>
              <w:t xml:space="preserve"> from n</w:t>
            </w:r>
            <w:r w:rsidRPr="00C011DF">
              <w:t>ot later than th</w:t>
            </w:r>
            <w:r w:rsidRPr="00C011DF">
              <w:t>e</w:t>
            </w:r>
            <w:r>
              <w:t xml:space="preserve"> 90th day </w:t>
            </w:r>
            <w:r w:rsidR="008A607E" w:rsidRPr="008A607E">
              <w:t xml:space="preserve">following the date of the first </w:t>
            </w:r>
            <w:r w:rsidR="008A607E">
              <w:t>SCJC</w:t>
            </w:r>
            <w:r w:rsidR="008A607E" w:rsidRPr="008A607E">
              <w:t xml:space="preserve"> meeting at which </w:t>
            </w:r>
            <w:r w:rsidR="0094200A">
              <w:t xml:space="preserve">the </w:t>
            </w:r>
            <w:r w:rsidR="008A607E" w:rsidRPr="008A607E">
              <w:t>complaint is included in</w:t>
            </w:r>
            <w:r w:rsidR="00CD528D">
              <w:t xml:space="preserve"> the pre-meeting report</w:t>
            </w:r>
            <w:r w:rsidR="008A607E" w:rsidRPr="008A607E">
              <w:t xml:space="preserve"> </w:t>
            </w:r>
            <w:r w:rsidR="0094200A" w:rsidRPr="0094200A">
              <w:t>to not later than the 120th day</w:t>
            </w:r>
            <w:r w:rsidR="0094200A">
              <w:t xml:space="preserve"> after that date.</w:t>
            </w:r>
            <w:r w:rsidR="008A607E">
              <w:t xml:space="preserve"> After the SCJC meeting at which an investigation report is finalized and an action determined, the bill requires the SCJC to provide </w:t>
            </w:r>
            <w:r w:rsidR="008A607E" w:rsidRPr="008A607E">
              <w:t>to the judge who is the subject of a complaint</w:t>
            </w:r>
            <w:r w:rsidR="008A607E">
              <w:t xml:space="preserve"> </w:t>
            </w:r>
            <w:r w:rsidR="0094200A">
              <w:t>the following</w:t>
            </w:r>
            <w:r w:rsidR="008A607E">
              <w:t>:</w:t>
            </w:r>
          </w:p>
          <w:p w14:paraId="1A1F18BF" w14:textId="4CFFDC11" w:rsidR="008A607E" w:rsidRDefault="008A44AF" w:rsidP="00F3771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8A607E">
              <w:t xml:space="preserve">written notice of the action to be taken regarding the complaint not more than 48 hours after the </w:t>
            </w:r>
            <w:r>
              <w:t>SCJC</w:t>
            </w:r>
            <w:r w:rsidRPr="008A607E">
              <w:t xml:space="preserve"> meeting; and</w:t>
            </w:r>
          </w:p>
          <w:p w14:paraId="26DC3942" w14:textId="738CEC1B" w:rsidR="00B85F51" w:rsidRDefault="008A44AF" w:rsidP="00F3771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8A607E">
              <w:t xml:space="preserve">as the </w:t>
            </w:r>
            <w:r>
              <w:t>SCJC</w:t>
            </w:r>
            <w:r w:rsidRPr="008A607E">
              <w:t xml:space="preserve"> determines appropriate,</w:t>
            </w:r>
            <w:r w:rsidRPr="008A607E">
              <w:t xml:space="preserve"> notice of the action to be taken published on the </w:t>
            </w:r>
            <w:r>
              <w:t>SCJC</w:t>
            </w:r>
            <w:r w:rsidRPr="008A607E">
              <w:t xml:space="preserve">'s website not more than 72 hours after the </w:t>
            </w:r>
            <w:r>
              <w:t>SCJC</w:t>
            </w:r>
            <w:r w:rsidRPr="008A607E">
              <w:t xml:space="preserve"> meeting.</w:t>
            </w:r>
          </w:p>
          <w:p w14:paraId="3E150816" w14:textId="3F24C9B2" w:rsidR="00B85F51" w:rsidRDefault="00B85F51" w:rsidP="00F3771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80EAC6A" w14:textId="17C732DF" w:rsidR="000B0826" w:rsidRDefault="008A44AF" w:rsidP="00F3771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3145 </w:t>
            </w:r>
            <w:r w:rsidR="00775C2A">
              <w:t xml:space="preserve">revises provisions providing for </w:t>
            </w:r>
            <w:r>
              <w:t xml:space="preserve">SCJC to order an extension if the SCJC is unable to finalize an investigation report and determine </w:t>
            </w:r>
            <w:r>
              <w:t>the action to be taken regarding a complaint within the 120</w:t>
            </w:r>
            <w:r w:rsidR="005230F2">
              <w:t>-</w:t>
            </w:r>
            <w:r>
              <w:t>day deadline. The bill changes the deadline by which such an extension may be granted</w:t>
            </w:r>
            <w:r w:rsidR="00775C2A">
              <w:t xml:space="preserve"> from </w:t>
            </w:r>
            <w:r w:rsidRPr="000B0826">
              <w:t>not later than the 270 day</w:t>
            </w:r>
            <w:r w:rsidR="00697509">
              <w:t>s</w:t>
            </w:r>
            <w:r w:rsidRPr="000B0826">
              <w:t xml:space="preserve"> following the date the complaint was filed </w:t>
            </w:r>
            <w:r>
              <w:t xml:space="preserve">to </w:t>
            </w:r>
            <w:r w:rsidRPr="000B0826">
              <w:t xml:space="preserve">not more than 240 days from the date of the first meeting at which </w:t>
            </w:r>
            <w:r>
              <w:t xml:space="preserve">the </w:t>
            </w:r>
            <w:r w:rsidRPr="000B0826">
              <w:t xml:space="preserve">complaint </w:t>
            </w:r>
            <w:r>
              <w:t>was</w:t>
            </w:r>
            <w:r w:rsidRPr="000B0826">
              <w:t xml:space="preserve"> included in the</w:t>
            </w:r>
            <w:r>
              <w:t xml:space="preserve"> pre-meeting</w:t>
            </w:r>
            <w:r w:rsidRPr="000B0826">
              <w:t xml:space="preserve"> report</w:t>
            </w:r>
            <w:r>
              <w:t>.</w:t>
            </w:r>
          </w:p>
          <w:p w14:paraId="4D14A39F" w14:textId="2BD5FADB" w:rsidR="005B4A6E" w:rsidRDefault="005B4A6E" w:rsidP="00F3771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B057335" w14:textId="2CA69A19" w:rsidR="005B4A6E" w:rsidRDefault="008A44AF" w:rsidP="00F3771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3145 </w:t>
            </w:r>
            <w:r w:rsidR="00084276">
              <w:t>replaces the authorization for the SCJC, o</w:t>
            </w:r>
            <w:r w:rsidR="00084276" w:rsidRPr="00084276">
              <w:t>n notice by any law enforcement agency investigating an action for which a complaint has been fil</w:t>
            </w:r>
            <w:r w:rsidR="00084276">
              <w:t xml:space="preserve">ed, to </w:t>
            </w:r>
            <w:r w:rsidR="00084276" w:rsidRPr="00084276">
              <w:t xml:space="preserve">place the complaint file on hold and decline any further investigation that would jeopardize the law enforcement agency's investigation </w:t>
            </w:r>
            <w:r w:rsidR="00084276">
              <w:t>with</w:t>
            </w:r>
            <w:r w:rsidR="002F6B84" w:rsidRPr="002F6B84">
              <w:t xml:space="preserve"> </w:t>
            </w:r>
            <w:r w:rsidR="00084276">
              <w:t xml:space="preserve">the requirement for the SCJC to </w:t>
            </w:r>
            <w:r w:rsidR="002F6B84" w:rsidRPr="002F6B84">
              <w:t xml:space="preserve">conduct the preliminary investigation and finalize the investigation report </w:t>
            </w:r>
            <w:r>
              <w:t xml:space="preserve">without jeopardizing </w:t>
            </w:r>
            <w:r w:rsidR="00084276">
              <w:t xml:space="preserve">such an </w:t>
            </w:r>
            <w:r>
              <w:t xml:space="preserve">investigation or revealing confidential information and </w:t>
            </w:r>
            <w:r w:rsidR="00084276">
              <w:t xml:space="preserve">to </w:t>
            </w:r>
            <w:r>
              <w:t xml:space="preserve">wait to issue the final determination or take the determined action until after </w:t>
            </w:r>
            <w:r w:rsidR="00077F2E">
              <w:t xml:space="preserve">the </w:t>
            </w:r>
            <w:r>
              <w:t xml:space="preserve">investigation is complete. </w:t>
            </w:r>
          </w:p>
          <w:p w14:paraId="3CBBB783" w14:textId="087BFB9A" w:rsidR="006A66A6" w:rsidRDefault="006A66A6" w:rsidP="00F3771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77002B6" w14:textId="626BE551" w:rsidR="006A66A6" w:rsidRDefault="008A44AF" w:rsidP="00F3771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56BE9">
              <w:t>H.B. 3145 requires the SCJC to</w:t>
            </w:r>
            <w:r>
              <w:t xml:space="preserve"> </w:t>
            </w:r>
            <w:r w:rsidRPr="00A56BE9">
              <w:t>prepare a</w:t>
            </w:r>
            <w:r w:rsidRPr="00A56BE9">
              <w:t xml:space="preserve"> report for the 89th Legislature regarding any statutory changes that would further improve the </w:t>
            </w:r>
            <w:r>
              <w:t>SCJC</w:t>
            </w:r>
            <w:r w:rsidRPr="00A56BE9">
              <w:t xml:space="preserve">'s effectiveness, efficiency, and transparency in filing, investigating, and processing any complaint filed with the </w:t>
            </w:r>
            <w:r>
              <w:t>SCJC</w:t>
            </w:r>
            <w:r w:rsidRPr="00A56BE9">
              <w:t>.</w:t>
            </w:r>
            <w:r>
              <w:t xml:space="preserve"> This provision expires September </w:t>
            </w:r>
            <w:r>
              <w:t>1, 2025.</w:t>
            </w:r>
          </w:p>
          <w:p w14:paraId="56A4102D" w14:textId="6F0D827C" w:rsidR="00A56BE9" w:rsidRDefault="00A56BE9" w:rsidP="00F3771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453BDB7" w14:textId="6D7E8682" w:rsidR="00A56BE9" w:rsidRDefault="008A44AF" w:rsidP="00F3771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56BE9">
              <w:t>H.B. 3145</w:t>
            </w:r>
            <w:r>
              <w:t xml:space="preserve"> applies only to a complaint fi</w:t>
            </w:r>
            <w:r w:rsidR="00860F71">
              <w:t>le</w:t>
            </w:r>
            <w:r>
              <w:t xml:space="preserve">d with the SCJC on or after the bill's effective date. </w:t>
            </w:r>
          </w:p>
          <w:p w14:paraId="146D4D42" w14:textId="77777777" w:rsidR="008423E4" w:rsidRPr="00835628" w:rsidRDefault="008423E4" w:rsidP="00F37717">
            <w:pPr>
              <w:rPr>
                <w:b/>
              </w:rPr>
            </w:pPr>
          </w:p>
        </w:tc>
      </w:tr>
      <w:tr w:rsidR="00E03200" w14:paraId="0CC13760" w14:textId="77777777" w:rsidTr="00345119">
        <w:tc>
          <w:tcPr>
            <w:tcW w:w="9576" w:type="dxa"/>
          </w:tcPr>
          <w:p w14:paraId="7C1C9BA9" w14:textId="77777777" w:rsidR="008423E4" w:rsidRPr="00A8133F" w:rsidRDefault="008A44AF" w:rsidP="00F3771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08CAB10" w14:textId="77777777" w:rsidR="008423E4" w:rsidRDefault="008423E4" w:rsidP="00F37717"/>
          <w:p w14:paraId="5F8B6AA3" w14:textId="4ACDEFC7" w:rsidR="008423E4" w:rsidRPr="003624F2" w:rsidRDefault="008A44AF" w:rsidP="00F3771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286E9BA" w14:textId="77777777" w:rsidR="008423E4" w:rsidRPr="00233FDB" w:rsidRDefault="008423E4" w:rsidP="00F37717">
            <w:pPr>
              <w:rPr>
                <w:b/>
              </w:rPr>
            </w:pPr>
          </w:p>
        </w:tc>
      </w:tr>
    </w:tbl>
    <w:p w14:paraId="6B761732" w14:textId="77777777" w:rsidR="008423E4" w:rsidRPr="00BE0E75" w:rsidRDefault="008423E4" w:rsidP="00F37717">
      <w:pPr>
        <w:jc w:val="both"/>
        <w:rPr>
          <w:rFonts w:ascii="Arial" w:hAnsi="Arial"/>
          <w:sz w:val="16"/>
          <w:szCs w:val="16"/>
        </w:rPr>
      </w:pPr>
    </w:p>
    <w:p w14:paraId="2C64C846" w14:textId="77777777" w:rsidR="004108C3" w:rsidRPr="008423E4" w:rsidRDefault="004108C3" w:rsidP="00F3771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E5A6E" w14:textId="77777777" w:rsidR="00000000" w:rsidRDefault="008A44AF">
      <w:r>
        <w:separator/>
      </w:r>
    </w:p>
  </w:endnote>
  <w:endnote w:type="continuationSeparator" w:id="0">
    <w:p w14:paraId="502AA807" w14:textId="77777777" w:rsidR="00000000" w:rsidRDefault="008A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A388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03200" w14:paraId="2182B25C" w14:textId="77777777" w:rsidTr="009C1E9A">
      <w:trPr>
        <w:cantSplit/>
      </w:trPr>
      <w:tc>
        <w:tcPr>
          <w:tcW w:w="0" w:type="pct"/>
        </w:tcPr>
        <w:p w14:paraId="42DA30D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790C1B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764248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7DA3ED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AA971E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03200" w14:paraId="5C236AF1" w14:textId="77777777" w:rsidTr="009C1E9A">
      <w:trPr>
        <w:cantSplit/>
      </w:trPr>
      <w:tc>
        <w:tcPr>
          <w:tcW w:w="0" w:type="pct"/>
        </w:tcPr>
        <w:p w14:paraId="2E01434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17F8637" w14:textId="6C74BB7E" w:rsidR="00EC379B" w:rsidRPr="009C1E9A" w:rsidRDefault="008A44A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24659-D</w:t>
          </w:r>
        </w:p>
      </w:tc>
      <w:tc>
        <w:tcPr>
          <w:tcW w:w="2453" w:type="pct"/>
        </w:tcPr>
        <w:p w14:paraId="144CAA06" w14:textId="4FF7664F" w:rsidR="00EC379B" w:rsidRDefault="008A44A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0654E">
            <w:t>23.110.2507</w:t>
          </w:r>
          <w:r>
            <w:fldChar w:fldCharType="end"/>
          </w:r>
        </w:p>
      </w:tc>
    </w:tr>
    <w:tr w:rsidR="00E03200" w14:paraId="7EDF7BA3" w14:textId="77777777" w:rsidTr="009C1E9A">
      <w:trPr>
        <w:cantSplit/>
      </w:trPr>
      <w:tc>
        <w:tcPr>
          <w:tcW w:w="0" w:type="pct"/>
        </w:tcPr>
        <w:p w14:paraId="55CA7ED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470299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DF83D8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75D3C4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03200" w14:paraId="6006779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E970D5B" w14:textId="77777777" w:rsidR="00EC379B" w:rsidRDefault="008A44A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3E840A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3273CB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541F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915A4" w14:textId="77777777" w:rsidR="00000000" w:rsidRDefault="008A44AF">
      <w:r>
        <w:separator/>
      </w:r>
    </w:p>
  </w:footnote>
  <w:footnote w:type="continuationSeparator" w:id="0">
    <w:p w14:paraId="18AF7F6F" w14:textId="77777777" w:rsidR="00000000" w:rsidRDefault="008A4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C5BB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A216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0FE9C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B2D71"/>
    <w:multiLevelType w:val="hybridMultilevel"/>
    <w:tmpl w:val="EAFEB7EC"/>
    <w:lvl w:ilvl="0" w:tplc="B8B22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56F8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A450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094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634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A063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02F0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6439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5897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9D30AB"/>
    <w:multiLevelType w:val="hybridMultilevel"/>
    <w:tmpl w:val="AB06B590"/>
    <w:lvl w:ilvl="0" w:tplc="0F1634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181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B8EC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A0B8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8A9D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402D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4A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64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065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2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77F2E"/>
    <w:rsid w:val="00080D95"/>
    <w:rsid w:val="00084276"/>
    <w:rsid w:val="00090E6B"/>
    <w:rsid w:val="00091B2C"/>
    <w:rsid w:val="00092ABC"/>
    <w:rsid w:val="00097AAF"/>
    <w:rsid w:val="00097D13"/>
    <w:rsid w:val="000A4893"/>
    <w:rsid w:val="000A54E0"/>
    <w:rsid w:val="000A72C4"/>
    <w:rsid w:val="000B0826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654E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267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5A43"/>
    <w:rsid w:val="002874E3"/>
    <w:rsid w:val="00287656"/>
    <w:rsid w:val="00291518"/>
    <w:rsid w:val="00296FF0"/>
    <w:rsid w:val="002A17C0"/>
    <w:rsid w:val="002A473B"/>
    <w:rsid w:val="002A48DF"/>
    <w:rsid w:val="002A5A84"/>
    <w:rsid w:val="002A6E6F"/>
    <w:rsid w:val="002A74E4"/>
    <w:rsid w:val="002A7CFE"/>
    <w:rsid w:val="002B26DD"/>
    <w:rsid w:val="002B2870"/>
    <w:rsid w:val="002B391B"/>
    <w:rsid w:val="002B55E9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6B84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E7B0C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30F2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062C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4A6E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3BE6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509"/>
    <w:rsid w:val="006979F8"/>
    <w:rsid w:val="006A3487"/>
    <w:rsid w:val="006A6068"/>
    <w:rsid w:val="006A66A6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5C2A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51A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0F71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1412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44AF"/>
    <w:rsid w:val="008A607E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200A"/>
    <w:rsid w:val="00944D3E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2E25"/>
    <w:rsid w:val="00983B56"/>
    <w:rsid w:val="009847FD"/>
    <w:rsid w:val="009851B3"/>
    <w:rsid w:val="00985300"/>
    <w:rsid w:val="00986720"/>
    <w:rsid w:val="00987F00"/>
    <w:rsid w:val="0099403D"/>
    <w:rsid w:val="00995B0B"/>
    <w:rsid w:val="00995C9D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5A58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15C7"/>
    <w:rsid w:val="00A425FA"/>
    <w:rsid w:val="00A43960"/>
    <w:rsid w:val="00A46902"/>
    <w:rsid w:val="00A50CDB"/>
    <w:rsid w:val="00A51F3E"/>
    <w:rsid w:val="00A5364B"/>
    <w:rsid w:val="00A54142"/>
    <w:rsid w:val="00A54C42"/>
    <w:rsid w:val="00A56BE9"/>
    <w:rsid w:val="00A572B1"/>
    <w:rsid w:val="00A577AF"/>
    <w:rsid w:val="00A60177"/>
    <w:rsid w:val="00A60220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539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0841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6F49"/>
    <w:rsid w:val="00B80532"/>
    <w:rsid w:val="00B82039"/>
    <w:rsid w:val="00B82454"/>
    <w:rsid w:val="00B85F51"/>
    <w:rsid w:val="00B90097"/>
    <w:rsid w:val="00B90999"/>
    <w:rsid w:val="00B91AD7"/>
    <w:rsid w:val="00B92D23"/>
    <w:rsid w:val="00B95BC8"/>
    <w:rsid w:val="00B96E87"/>
    <w:rsid w:val="00BA146A"/>
    <w:rsid w:val="00BA2308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1DF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528D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3A7A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3200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17B3B"/>
    <w:rsid w:val="00E17F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0488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6B8F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717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3C54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AE2766-A21B-4E78-BFB1-2024EFB3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602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602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022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02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0220"/>
    <w:rPr>
      <w:b/>
      <w:bCs/>
    </w:rPr>
  </w:style>
  <w:style w:type="paragraph" w:styleId="Revision">
    <w:name w:val="Revision"/>
    <w:hidden/>
    <w:uiPriority w:val="99"/>
    <w:semiHidden/>
    <w:rsid w:val="00A415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774</Words>
  <Characters>4121</Characters>
  <Application>Microsoft Office Word</Application>
  <DocSecurity>4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HB03145 (Committee Report (Unamended))</vt:lpstr>
    </vt:vector>
  </TitlesOfParts>
  <Company>State of Texas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24659</dc:subject>
  <dc:creator>State of Texas</dc:creator>
  <dc:description>HB 3145 by Jetton-(H)Judiciary &amp; Civil Jurisprudence</dc:description>
  <cp:lastModifiedBy>Matthew Lee</cp:lastModifiedBy>
  <cp:revision>2</cp:revision>
  <cp:lastPrinted>2003-11-26T17:21:00Z</cp:lastPrinted>
  <dcterms:created xsi:type="dcterms:W3CDTF">2023-04-26T21:17:00Z</dcterms:created>
  <dcterms:modified xsi:type="dcterms:W3CDTF">2023-04-26T21:17:00Z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23.110.2507</vt:lpwstr>
  </property>
</Properties>
</file>