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C1B" w:rsidRDefault="004C6C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38A63BD8834E408C6ED8B50501DFB2"/>
          </w:placeholder>
        </w:sdtPr>
        <w:sdtContent>
          <w:r w:rsidRPr="005C2A78">
            <w:rPr>
              <w:rFonts w:cs="Times New Roman"/>
              <w:b/>
              <w:szCs w:val="24"/>
              <w:u w:val="single"/>
            </w:rPr>
            <w:t>BILL ANALYSIS</w:t>
          </w:r>
        </w:sdtContent>
      </w:sdt>
    </w:p>
    <w:p w:rsidR="004C6C1B" w:rsidRPr="00585C31" w:rsidRDefault="004C6C1B" w:rsidP="000F1DF9">
      <w:pPr>
        <w:spacing w:after="0" w:line="240" w:lineRule="auto"/>
        <w:rPr>
          <w:rFonts w:cs="Times New Roman"/>
          <w:szCs w:val="24"/>
        </w:rPr>
      </w:pPr>
    </w:p>
    <w:p w:rsidR="004C6C1B" w:rsidRPr="00585C31" w:rsidRDefault="004C6C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6C1B" w:rsidTr="000F1DF9">
        <w:tc>
          <w:tcPr>
            <w:tcW w:w="2718" w:type="dxa"/>
          </w:tcPr>
          <w:p w:rsidR="004C6C1B" w:rsidRPr="005C2A78" w:rsidRDefault="004C6C1B" w:rsidP="006D756B">
            <w:pPr>
              <w:rPr>
                <w:rFonts w:cs="Times New Roman"/>
                <w:szCs w:val="24"/>
              </w:rPr>
            </w:pPr>
            <w:sdt>
              <w:sdtPr>
                <w:rPr>
                  <w:rFonts w:cs="Times New Roman"/>
                  <w:szCs w:val="24"/>
                </w:rPr>
                <w:alias w:val="Agency Title"/>
                <w:tag w:val="AgencyTitleContentControl"/>
                <w:id w:val="1920747753"/>
                <w:lock w:val="sdtContentLocked"/>
                <w:placeholder>
                  <w:docPart w:val="630A8C10847648CBAC801B1F81666EBB"/>
                </w:placeholder>
              </w:sdtPr>
              <w:sdtEndPr>
                <w:rPr>
                  <w:rFonts w:cstheme="minorBidi"/>
                  <w:szCs w:val="22"/>
                </w:rPr>
              </w:sdtEndPr>
              <w:sdtContent>
                <w:r>
                  <w:rPr>
                    <w:rFonts w:cs="Times New Roman"/>
                    <w:szCs w:val="24"/>
                  </w:rPr>
                  <w:t>Senate Research Center</w:t>
                </w:r>
              </w:sdtContent>
            </w:sdt>
          </w:p>
        </w:tc>
        <w:tc>
          <w:tcPr>
            <w:tcW w:w="6858" w:type="dxa"/>
          </w:tcPr>
          <w:p w:rsidR="004C6C1B" w:rsidRPr="00FF6471" w:rsidRDefault="004C6C1B" w:rsidP="000F1DF9">
            <w:pPr>
              <w:jc w:val="right"/>
              <w:rPr>
                <w:rFonts w:cs="Times New Roman"/>
                <w:szCs w:val="24"/>
              </w:rPr>
            </w:pPr>
            <w:sdt>
              <w:sdtPr>
                <w:rPr>
                  <w:rFonts w:cs="Times New Roman"/>
                  <w:szCs w:val="24"/>
                </w:rPr>
                <w:alias w:val="Bill Number"/>
                <w:tag w:val="BillNumberOne"/>
                <w:id w:val="-410784069"/>
                <w:lock w:val="sdtContentLocked"/>
                <w:placeholder>
                  <w:docPart w:val="0974C32F8A7E495A94A55EC60EC20864"/>
                </w:placeholder>
              </w:sdtPr>
              <w:sdtContent>
                <w:r>
                  <w:rPr>
                    <w:rFonts w:cs="Times New Roman"/>
                    <w:szCs w:val="24"/>
                  </w:rPr>
                  <w:t>H.B. 3161</w:t>
                </w:r>
              </w:sdtContent>
            </w:sdt>
          </w:p>
        </w:tc>
      </w:tr>
      <w:tr w:rsidR="004C6C1B" w:rsidTr="000F1DF9">
        <w:sdt>
          <w:sdtPr>
            <w:rPr>
              <w:rFonts w:cs="Times New Roman"/>
              <w:szCs w:val="24"/>
            </w:rPr>
            <w:alias w:val="TLCNumber"/>
            <w:tag w:val="TLCNumber"/>
            <w:id w:val="-542600604"/>
            <w:lock w:val="sdtLocked"/>
            <w:placeholder>
              <w:docPart w:val="40C731D7F52848A49B8B57B989ED0C70"/>
            </w:placeholder>
          </w:sdtPr>
          <w:sdtContent>
            <w:tc>
              <w:tcPr>
                <w:tcW w:w="2718" w:type="dxa"/>
              </w:tcPr>
              <w:p w:rsidR="004C6C1B" w:rsidRPr="000F1DF9" w:rsidRDefault="004C6C1B" w:rsidP="00C65088">
                <w:pPr>
                  <w:rPr>
                    <w:rFonts w:cs="Times New Roman"/>
                    <w:szCs w:val="24"/>
                  </w:rPr>
                </w:pPr>
                <w:r>
                  <w:rPr>
                    <w:rFonts w:cs="Times New Roman"/>
                    <w:szCs w:val="24"/>
                  </w:rPr>
                  <w:t>88R10002 AJZ-F</w:t>
                </w:r>
              </w:p>
            </w:tc>
          </w:sdtContent>
        </w:sdt>
        <w:tc>
          <w:tcPr>
            <w:tcW w:w="6858" w:type="dxa"/>
          </w:tcPr>
          <w:p w:rsidR="004C6C1B" w:rsidRPr="005C2A78" w:rsidRDefault="004C6C1B" w:rsidP="00073EDD">
            <w:pPr>
              <w:jc w:val="right"/>
              <w:rPr>
                <w:rFonts w:cs="Times New Roman"/>
                <w:szCs w:val="24"/>
              </w:rPr>
            </w:pPr>
            <w:sdt>
              <w:sdtPr>
                <w:rPr>
                  <w:rFonts w:cs="Times New Roman"/>
                  <w:szCs w:val="24"/>
                </w:rPr>
                <w:alias w:val="Author Label"/>
                <w:tag w:val="By"/>
                <w:id w:val="72399597"/>
                <w:lock w:val="sdtLocked"/>
                <w:placeholder>
                  <w:docPart w:val="6BF0EB9DC8E24751861CA5AB25E2CA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65B556583B948C7B096D9A9A5CFA2EF"/>
                </w:placeholder>
              </w:sdtPr>
              <w:sdtContent>
                <w:r>
                  <w:rPr>
                    <w:rFonts w:cs="Times New Roman"/>
                    <w:szCs w:val="24"/>
                  </w:rPr>
                  <w:t>Hull</w:t>
                </w:r>
              </w:sdtContent>
            </w:sdt>
            <w:sdt>
              <w:sdtPr>
                <w:rPr>
                  <w:rFonts w:cs="Times New Roman"/>
                  <w:szCs w:val="24"/>
                </w:rPr>
                <w:alias w:val="Sponsor"/>
                <w:tag w:val="Sponsor"/>
                <w:id w:val="-2039656131"/>
                <w:lock w:val="sdtContentLocked"/>
                <w:placeholder>
                  <w:docPart w:val="D03BD17AE0F648CEA76BDFBC03F6051B"/>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489C0BEE1BE647F2835D0F43F1714A64"/>
                </w:placeholder>
                <w:showingPlcHdr/>
              </w:sdtPr>
              <w:sdtContent/>
            </w:sdt>
          </w:p>
        </w:tc>
      </w:tr>
      <w:tr w:rsidR="004C6C1B" w:rsidTr="000F1DF9">
        <w:tc>
          <w:tcPr>
            <w:tcW w:w="2718" w:type="dxa"/>
          </w:tcPr>
          <w:p w:rsidR="004C6C1B" w:rsidRPr="00BC7495" w:rsidRDefault="004C6C1B" w:rsidP="000F1DF9">
            <w:pPr>
              <w:rPr>
                <w:rFonts w:cs="Times New Roman"/>
                <w:szCs w:val="24"/>
              </w:rPr>
            </w:pPr>
          </w:p>
        </w:tc>
        <w:sdt>
          <w:sdtPr>
            <w:rPr>
              <w:rFonts w:cs="Times New Roman"/>
              <w:szCs w:val="24"/>
            </w:rPr>
            <w:alias w:val="Committee"/>
            <w:tag w:val="Committee"/>
            <w:id w:val="1914272295"/>
            <w:lock w:val="sdtContentLocked"/>
            <w:placeholder>
              <w:docPart w:val="B58A3C05B3ED46A3A7AEB5F4A36EA5F5"/>
            </w:placeholder>
          </w:sdtPr>
          <w:sdtContent>
            <w:tc>
              <w:tcPr>
                <w:tcW w:w="6858" w:type="dxa"/>
              </w:tcPr>
              <w:p w:rsidR="004C6C1B" w:rsidRPr="00FF6471" w:rsidRDefault="004C6C1B" w:rsidP="000F1DF9">
                <w:pPr>
                  <w:jc w:val="right"/>
                  <w:rPr>
                    <w:rFonts w:cs="Times New Roman"/>
                    <w:szCs w:val="24"/>
                  </w:rPr>
                </w:pPr>
                <w:r>
                  <w:rPr>
                    <w:rFonts w:cs="Times New Roman"/>
                    <w:szCs w:val="24"/>
                  </w:rPr>
                  <w:t>Criminal Justice</w:t>
                </w:r>
              </w:p>
            </w:tc>
          </w:sdtContent>
        </w:sdt>
      </w:tr>
      <w:tr w:rsidR="004C6C1B" w:rsidTr="000F1DF9">
        <w:tc>
          <w:tcPr>
            <w:tcW w:w="2718" w:type="dxa"/>
          </w:tcPr>
          <w:p w:rsidR="004C6C1B" w:rsidRPr="00BC7495" w:rsidRDefault="004C6C1B" w:rsidP="000F1DF9">
            <w:pPr>
              <w:rPr>
                <w:rFonts w:cs="Times New Roman"/>
                <w:szCs w:val="24"/>
              </w:rPr>
            </w:pPr>
          </w:p>
        </w:tc>
        <w:sdt>
          <w:sdtPr>
            <w:rPr>
              <w:rFonts w:cs="Times New Roman"/>
              <w:szCs w:val="24"/>
            </w:rPr>
            <w:alias w:val="Date"/>
            <w:tag w:val="DateContentControl"/>
            <w:id w:val="1178081906"/>
            <w:lock w:val="sdtLocked"/>
            <w:placeholder>
              <w:docPart w:val="24CF4836E4DE4C1686DAF99A06568309"/>
            </w:placeholder>
            <w:date w:fullDate="2023-05-13T00:00:00Z">
              <w:dateFormat w:val="M/d/yyyy"/>
              <w:lid w:val="en-US"/>
              <w:storeMappedDataAs w:val="dateTime"/>
              <w:calendar w:val="gregorian"/>
            </w:date>
          </w:sdtPr>
          <w:sdtContent>
            <w:tc>
              <w:tcPr>
                <w:tcW w:w="6858" w:type="dxa"/>
              </w:tcPr>
              <w:p w:rsidR="004C6C1B" w:rsidRPr="00FF6471" w:rsidRDefault="004C6C1B" w:rsidP="000F1DF9">
                <w:pPr>
                  <w:jc w:val="right"/>
                  <w:rPr>
                    <w:rFonts w:cs="Times New Roman"/>
                    <w:szCs w:val="24"/>
                  </w:rPr>
                </w:pPr>
                <w:r>
                  <w:rPr>
                    <w:rFonts w:cs="Times New Roman"/>
                    <w:szCs w:val="24"/>
                  </w:rPr>
                  <w:t>5/13/2023</w:t>
                </w:r>
              </w:p>
            </w:tc>
          </w:sdtContent>
        </w:sdt>
      </w:tr>
      <w:tr w:rsidR="004C6C1B" w:rsidTr="000F1DF9">
        <w:tc>
          <w:tcPr>
            <w:tcW w:w="2718" w:type="dxa"/>
          </w:tcPr>
          <w:p w:rsidR="004C6C1B" w:rsidRPr="00BC7495" w:rsidRDefault="004C6C1B" w:rsidP="000F1DF9">
            <w:pPr>
              <w:rPr>
                <w:rFonts w:cs="Times New Roman"/>
                <w:szCs w:val="24"/>
              </w:rPr>
            </w:pPr>
          </w:p>
        </w:tc>
        <w:sdt>
          <w:sdtPr>
            <w:rPr>
              <w:rFonts w:cs="Times New Roman"/>
              <w:szCs w:val="24"/>
            </w:rPr>
            <w:alias w:val="BA Version"/>
            <w:tag w:val="BAVersion"/>
            <w:id w:val="-1685590809"/>
            <w:lock w:val="sdtContentLocked"/>
            <w:placeholder>
              <w:docPart w:val="B174B6D4E9124B48B75A851B85FF85E6"/>
            </w:placeholder>
          </w:sdtPr>
          <w:sdtContent>
            <w:tc>
              <w:tcPr>
                <w:tcW w:w="6858" w:type="dxa"/>
              </w:tcPr>
              <w:p w:rsidR="004C6C1B" w:rsidRPr="00FF6471" w:rsidRDefault="004C6C1B" w:rsidP="000F1DF9">
                <w:pPr>
                  <w:jc w:val="right"/>
                  <w:rPr>
                    <w:rFonts w:cs="Times New Roman"/>
                    <w:szCs w:val="24"/>
                  </w:rPr>
                </w:pPr>
                <w:r>
                  <w:rPr>
                    <w:rFonts w:cs="Times New Roman"/>
                    <w:szCs w:val="24"/>
                  </w:rPr>
                  <w:t>Engrossed</w:t>
                </w:r>
              </w:p>
            </w:tc>
          </w:sdtContent>
        </w:sdt>
      </w:tr>
    </w:tbl>
    <w:p w:rsidR="004C6C1B" w:rsidRPr="00FF6471" w:rsidRDefault="004C6C1B" w:rsidP="000F1DF9">
      <w:pPr>
        <w:spacing w:after="0" w:line="240" w:lineRule="auto"/>
        <w:rPr>
          <w:rFonts w:cs="Times New Roman"/>
          <w:szCs w:val="24"/>
        </w:rPr>
      </w:pPr>
    </w:p>
    <w:p w:rsidR="004C6C1B" w:rsidRPr="00FF6471" w:rsidRDefault="004C6C1B" w:rsidP="000F1DF9">
      <w:pPr>
        <w:spacing w:after="0" w:line="240" w:lineRule="auto"/>
        <w:rPr>
          <w:rFonts w:cs="Times New Roman"/>
          <w:szCs w:val="24"/>
        </w:rPr>
      </w:pPr>
    </w:p>
    <w:p w:rsidR="004C6C1B" w:rsidRPr="00FF6471" w:rsidRDefault="004C6C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4675703C9A4C348EE6E27A85787B84"/>
        </w:placeholder>
      </w:sdtPr>
      <w:sdtContent>
        <w:p w:rsidR="004C6C1B" w:rsidRDefault="004C6C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2D838C8132A4EC3A955FA7604F6B986"/>
        </w:placeholder>
      </w:sdtPr>
      <w:sdtContent>
        <w:p w:rsidR="004C6C1B" w:rsidRDefault="004C6C1B" w:rsidP="004C6C1B">
          <w:pPr>
            <w:pStyle w:val="NormalWeb"/>
            <w:spacing w:before="0" w:beforeAutospacing="0" w:after="0" w:afterAutospacing="0"/>
            <w:jc w:val="both"/>
            <w:divId w:val="409428229"/>
            <w:rPr>
              <w:rFonts w:eastAsia="Times New Roman"/>
              <w:bCs/>
            </w:rPr>
          </w:pPr>
        </w:p>
        <w:p w:rsidR="004C6C1B" w:rsidRPr="00140D54" w:rsidRDefault="004C6C1B" w:rsidP="004C6C1B">
          <w:pPr>
            <w:spacing w:after="0" w:line="240" w:lineRule="auto"/>
            <w:jc w:val="both"/>
            <w:divId w:val="409428229"/>
            <w:rPr>
              <w:rFonts w:eastAsia="Times New Roman"/>
            </w:rPr>
          </w:pPr>
          <w:r w:rsidRPr="00140D54">
            <w:rPr>
              <w:rFonts w:eastAsia="Times New Roman"/>
            </w:rPr>
            <w:t>Death inquests are required to be conducted by justices of the peace or medical examiners under certain circumstances outlined in statute.</w:t>
          </w:r>
          <w:r>
            <w:rPr>
              <w:rFonts w:eastAsia="Times New Roman"/>
            </w:rPr>
            <w:t xml:space="preserve">  </w:t>
          </w:r>
          <w:r w:rsidRPr="00140D54">
            <w:rPr>
              <w:rFonts w:eastAsia="Times New Roman"/>
            </w:rPr>
            <w:t>If an individual is unidentified and the cause or circumstance of their death are unknown, then a death inquest must be conducted and the identifying information of the decedent must be collected and entered into the National Unidentified and Missing Persons System.</w:t>
          </w:r>
          <w:r>
            <w:rPr>
              <w:rFonts w:eastAsia="Times New Roman"/>
            </w:rPr>
            <w:t xml:space="preserve">  </w:t>
          </w:r>
          <w:r w:rsidRPr="00140D54">
            <w:rPr>
              <w:rFonts w:eastAsia="Times New Roman"/>
            </w:rPr>
            <w:t>In certain circumstances, the cause or circumstance may be known if the death is attended by a physician, but the individual is unidentified.</w:t>
          </w:r>
          <w:r>
            <w:rPr>
              <w:rFonts w:eastAsia="Times New Roman"/>
            </w:rPr>
            <w:t xml:space="preserve">  </w:t>
          </w:r>
          <w:r w:rsidRPr="00140D54">
            <w:rPr>
              <w:rFonts w:eastAsia="Times New Roman"/>
            </w:rPr>
            <w:t>Additionally, after conducting a death inquest, justices of the peace or medical examiners must ensure that the decedent</w:t>
          </w:r>
          <w:r>
            <w:rPr>
              <w:rFonts w:eastAsia="Times New Roman"/>
            </w:rPr>
            <w:t>'</w:t>
          </w:r>
          <w:r w:rsidRPr="00140D54">
            <w:rPr>
              <w:rFonts w:eastAsia="Times New Roman"/>
            </w:rPr>
            <w:t xml:space="preserve">s remains are provided to the person </w:t>
          </w:r>
          <w:r>
            <w:rPr>
              <w:rFonts w:eastAsia="Times New Roman"/>
            </w:rPr>
            <w:t>who has</w:t>
          </w:r>
          <w:r w:rsidRPr="00140D54">
            <w:rPr>
              <w:rFonts w:eastAsia="Times New Roman"/>
            </w:rPr>
            <w:t xml:space="preserve"> the duty to inter.</w:t>
          </w:r>
        </w:p>
        <w:p w:rsidR="004C6C1B" w:rsidRDefault="004C6C1B" w:rsidP="004C6C1B">
          <w:pPr>
            <w:pStyle w:val="NormalWeb"/>
            <w:spacing w:before="0" w:beforeAutospacing="0" w:after="0" w:afterAutospacing="0"/>
            <w:jc w:val="both"/>
            <w:divId w:val="409428229"/>
          </w:pPr>
        </w:p>
        <w:p w:rsidR="004C6C1B" w:rsidRPr="00140D54" w:rsidRDefault="004C6C1B" w:rsidP="004C6C1B">
          <w:pPr>
            <w:spacing w:after="0" w:line="240" w:lineRule="auto"/>
            <w:jc w:val="both"/>
            <w:divId w:val="409428229"/>
            <w:rPr>
              <w:rFonts w:eastAsia="Times New Roman"/>
            </w:rPr>
          </w:pPr>
          <w:r w:rsidRPr="00140D54">
            <w:rPr>
              <w:rFonts w:eastAsia="Times New Roman"/>
            </w:rPr>
            <w:t>H.B. 3161 expands the statutory authority of death inquests that are conducted by justices of the peace and medical examiners to include when the person is unidentified, regardless of whether the cause or circumstances of death are known.</w:t>
          </w:r>
          <w:r>
            <w:rPr>
              <w:rFonts w:eastAsia="Times New Roman"/>
            </w:rPr>
            <w:t xml:space="preserve">  </w:t>
          </w:r>
          <w:r w:rsidRPr="00140D54">
            <w:rPr>
              <w:rFonts w:eastAsia="Times New Roman"/>
            </w:rPr>
            <w:t>A decedent is considered unidentified if their legal name is unknown and there is no person with the duty to inter the deceased person's remains, meaning that they would be buried by the county with no known next of kin.</w:t>
          </w:r>
        </w:p>
        <w:p w:rsidR="004C6C1B" w:rsidRDefault="004C6C1B" w:rsidP="004C6C1B">
          <w:pPr>
            <w:pStyle w:val="NormalWeb"/>
            <w:spacing w:before="0" w:beforeAutospacing="0" w:after="0" w:afterAutospacing="0"/>
            <w:jc w:val="both"/>
            <w:divId w:val="409428229"/>
          </w:pPr>
        </w:p>
        <w:p w:rsidR="004C6C1B" w:rsidRPr="004C6C1B" w:rsidRDefault="004C6C1B" w:rsidP="004C6C1B">
          <w:pPr>
            <w:pStyle w:val="NormalWeb"/>
            <w:spacing w:before="0" w:beforeAutospacing="0" w:after="0" w:afterAutospacing="0"/>
            <w:jc w:val="both"/>
            <w:divId w:val="409428229"/>
            <w:rPr>
              <w:u w:val="single"/>
            </w:rPr>
          </w:pPr>
          <w:r w:rsidRPr="004C6C1B">
            <w:rPr>
              <w:u w:val="single"/>
            </w:rPr>
            <w:t>Committee Substitute</w:t>
          </w:r>
          <w:r w:rsidRPr="004C6C1B">
            <w:t xml:space="preserve"> </w:t>
          </w:r>
          <w:r w:rsidRPr="004C6C1B">
            <w:tab/>
          </w:r>
          <w:r w:rsidRPr="004C6C1B">
            <w:rPr>
              <w:u w:val="single"/>
            </w:rPr>
            <w:br/>
          </w:r>
        </w:p>
        <w:p w:rsidR="004C6C1B" w:rsidRPr="00140D54" w:rsidRDefault="004C6C1B" w:rsidP="004C6C1B">
          <w:pPr>
            <w:spacing w:after="0" w:line="240" w:lineRule="auto"/>
            <w:jc w:val="both"/>
            <w:divId w:val="409428229"/>
            <w:rPr>
              <w:rFonts w:eastAsia="Times New Roman"/>
            </w:rPr>
          </w:pPr>
          <w:r>
            <w:rPr>
              <w:rFonts w:eastAsia="Times New Roman"/>
            </w:rPr>
            <w:t>A c</w:t>
          </w:r>
          <w:r w:rsidRPr="00140D54">
            <w:rPr>
              <w:rFonts w:eastAsia="Times New Roman"/>
            </w:rPr>
            <w:t xml:space="preserve">ommittee </w:t>
          </w:r>
          <w:r>
            <w:rPr>
              <w:rFonts w:eastAsia="Times New Roman"/>
            </w:rPr>
            <w:t>s</w:t>
          </w:r>
          <w:r w:rsidRPr="00140D54">
            <w:rPr>
              <w:rFonts w:eastAsia="Times New Roman"/>
            </w:rPr>
            <w:t>ub</w:t>
          </w:r>
          <w:r>
            <w:rPr>
              <w:rFonts w:eastAsia="Times New Roman"/>
            </w:rPr>
            <w:t>stitute</w:t>
          </w:r>
          <w:r w:rsidRPr="00140D54">
            <w:rPr>
              <w:rFonts w:eastAsia="Times New Roman"/>
            </w:rPr>
            <w:t xml:space="preserve"> adds that a person may not control the disposition of the decedent’s remains if the person has ben arrested or an arrest warrant has been issued for a homicide involving family violence against the person, or a protective order had been filed for or issued against the person.</w:t>
          </w:r>
          <w:r>
            <w:rPr>
              <w:rFonts w:eastAsia="Times New Roman"/>
            </w:rPr>
            <w:t xml:space="preserve">  </w:t>
          </w:r>
          <w:r w:rsidRPr="00140D54">
            <w:rPr>
              <w:rFonts w:eastAsia="Times New Roman"/>
            </w:rPr>
            <w:t xml:space="preserve">Finally, </w:t>
          </w:r>
          <w:r>
            <w:rPr>
              <w:rFonts w:eastAsia="Times New Roman"/>
            </w:rPr>
            <w:t>the substitute</w:t>
          </w:r>
          <w:r w:rsidRPr="00140D54">
            <w:rPr>
              <w:rFonts w:eastAsia="Times New Roman"/>
            </w:rPr>
            <w:t xml:space="preserve"> requires a probate court to expedite proceedings to resolve any dispute over the right to control the disposition of a decedent</w:t>
          </w:r>
          <w:r>
            <w:rPr>
              <w:rFonts w:eastAsia="Times New Roman"/>
            </w:rPr>
            <w:t>'</w:t>
          </w:r>
          <w:r w:rsidRPr="00140D54">
            <w:rPr>
              <w:rFonts w:eastAsia="Times New Roman"/>
            </w:rPr>
            <w:t>s remains if it involves a prohibited person.</w:t>
          </w:r>
        </w:p>
        <w:p w:rsidR="004C6C1B" w:rsidRPr="00D70925" w:rsidRDefault="004C6C1B" w:rsidP="004C6C1B">
          <w:pPr>
            <w:spacing w:after="0" w:line="240" w:lineRule="auto"/>
            <w:jc w:val="both"/>
            <w:rPr>
              <w:rFonts w:eastAsia="Times New Roman" w:cs="Times New Roman"/>
              <w:bCs/>
              <w:szCs w:val="24"/>
            </w:rPr>
          </w:pPr>
        </w:p>
      </w:sdtContent>
    </w:sdt>
    <w:p w:rsidR="004C6C1B" w:rsidRDefault="004C6C1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3161 </w:t>
      </w:r>
      <w:bookmarkStart w:id="1" w:name="AmendsCurrentLaw"/>
      <w:bookmarkEnd w:id="1"/>
      <w:r>
        <w:rPr>
          <w:rFonts w:cs="Times New Roman"/>
          <w:szCs w:val="24"/>
        </w:rPr>
        <w:t>amends current law relating to the duties of a justice of the peace, medical examiner, or other investigator regarding the bodies of unidentified deceased persons.</w:t>
      </w:r>
    </w:p>
    <w:p w:rsidR="004C6C1B" w:rsidRPr="00500C19" w:rsidRDefault="004C6C1B" w:rsidP="000F1DF9">
      <w:pPr>
        <w:spacing w:after="0" w:line="240" w:lineRule="auto"/>
        <w:jc w:val="both"/>
        <w:rPr>
          <w:rFonts w:eastAsia="Times New Roman" w:cs="Times New Roman"/>
          <w:szCs w:val="24"/>
        </w:rPr>
      </w:pPr>
    </w:p>
    <w:p w:rsidR="004C6C1B" w:rsidRPr="005C2A78" w:rsidRDefault="004C6C1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79E1C2603F447981F992F73EE2D7FC"/>
          </w:placeholder>
        </w:sdtPr>
        <w:sdtContent>
          <w:r>
            <w:rPr>
              <w:rFonts w:eastAsia="Times New Roman" w:cs="Times New Roman"/>
              <w:b/>
              <w:szCs w:val="24"/>
              <w:u w:val="single"/>
            </w:rPr>
            <w:t>RULEMAKING AUTHORITY</w:t>
          </w:r>
        </w:sdtContent>
      </w:sdt>
    </w:p>
    <w:p w:rsidR="004C6C1B" w:rsidRPr="006529C4" w:rsidRDefault="004C6C1B" w:rsidP="00774EC7">
      <w:pPr>
        <w:spacing w:after="0" w:line="240" w:lineRule="auto"/>
        <w:jc w:val="both"/>
        <w:rPr>
          <w:rFonts w:cs="Times New Roman"/>
          <w:szCs w:val="24"/>
        </w:rPr>
      </w:pPr>
    </w:p>
    <w:p w:rsidR="004C6C1B" w:rsidRPr="006529C4" w:rsidRDefault="004C6C1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6C1B" w:rsidRPr="006529C4" w:rsidRDefault="004C6C1B" w:rsidP="00774EC7">
      <w:pPr>
        <w:spacing w:after="0" w:line="240" w:lineRule="auto"/>
        <w:jc w:val="both"/>
        <w:rPr>
          <w:rFonts w:cs="Times New Roman"/>
          <w:szCs w:val="24"/>
        </w:rPr>
      </w:pPr>
    </w:p>
    <w:p w:rsidR="004C6C1B" w:rsidRPr="005C2A78" w:rsidRDefault="004C6C1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108593DBBD4681BD474DA19D534C41"/>
          </w:placeholder>
        </w:sdtPr>
        <w:sdtContent>
          <w:r>
            <w:rPr>
              <w:rFonts w:eastAsia="Times New Roman" w:cs="Times New Roman"/>
              <w:b/>
              <w:szCs w:val="24"/>
              <w:u w:val="single"/>
            </w:rPr>
            <w:t>SECTION BY SECTION ANALYSIS</w:t>
          </w:r>
        </w:sdtContent>
      </w:sdt>
    </w:p>
    <w:p w:rsidR="004C6C1B" w:rsidRPr="005C2A78" w:rsidRDefault="004C6C1B" w:rsidP="000F1DF9">
      <w:pPr>
        <w:spacing w:after="0" w:line="240" w:lineRule="auto"/>
        <w:jc w:val="both"/>
        <w:rPr>
          <w:rFonts w:eastAsia="Times New Roman" w:cs="Times New Roman"/>
          <w:szCs w:val="24"/>
        </w:rPr>
      </w:pPr>
    </w:p>
    <w:p w:rsidR="004C6C1B" w:rsidRDefault="004C6C1B" w:rsidP="00CE1F4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49.01, Code of Criminal Procedure, as follows:</w:t>
      </w:r>
    </w:p>
    <w:p w:rsidR="004C6C1B" w:rsidRDefault="004C6C1B" w:rsidP="00CE1F40">
      <w:pPr>
        <w:spacing w:after="0" w:line="240" w:lineRule="auto"/>
        <w:jc w:val="both"/>
        <w:rPr>
          <w:rFonts w:eastAsia="Times New Roman" w:cs="Times New Roman"/>
          <w:szCs w:val="24"/>
        </w:rPr>
      </w:pPr>
    </w:p>
    <w:p w:rsidR="004C6C1B" w:rsidRDefault="004C6C1B" w:rsidP="00CE1F40">
      <w:pPr>
        <w:spacing w:after="0" w:line="240" w:lineRule="auto"/>
        <w:ind w:left="720"/>
        <w:jc w:val="both"/>
        <w:rPr>
          <w:rFonts w:eastAsia="Times New Roman" w:cs="Times New Roman"/>
          <w:szCs w:val="24"/>
        </w:rPr>
      </w:pPr>
      <w:r>
        <w:rPr>
          <w:rFonts w:eastAsia="Times New Roman" w:cs="Times New Roman"/>
          <w:szCs w:val="24"/>
        </w:rPr>
        <w:t>Art. 49.01. DEFINITIONS. (a) Creates this subdivision from existing text.</w:t>
      </w:r>
    </w:p>
    <w:p w:rsidR="004C6C1B" w:rsidRDefault="004C6C1B" w:rsidP="00CE1F40">
      <w:pPr>
        <w:spacing w:after="0" w:line="240" w:lineRule="auto"/>
        <w:ind w:left="72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 xml:space="preserve">(b) Provides that a person or body, for the purposes of this Chapter 49 (Inquests Upon Dead bodies), is considered unidentified if: </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ind w:left="2160"/>
        <w:jc w:val="both"/>
        <w:rPr>
          <w:rFonts w:eastAsia="Times New Roman" w:cs="Times New Roman"/>
          <w:szCs w:val="24"/>
        </w:rPr>
      </w:pPr>
      <w:r>
        <w:rPr>
          <w:rFonts w:eastAsia="Times New Roman" w:cs="Times New Roman"/>
          <w:szCs w:val="24"/>
        </w:rPr>
        <w:t>(1) the deceased person's legal name is unknown; and</w:t>
      </w:r>
    </w:p>
    <w:p w:rsidR="004C6C1B" w:rsidRDefault="004C6C1B" w:rsidP="00CE1F40">
      <w:pPr>
        <w:spacing w:after="0" w:line="240" w:lineRule="auto"/>
        <w:ind w:left="2160"/>
        <w:jc w:val="both"/>
        <w:rPr>
          <w:rFonts w:eastAsia="Times New Roman" w:cs="Times New Roman"/>
          <w:szCs w:val="24"/>
        </w:rPr>
      </w:pPr>
    </w:p>
    <w:p w:rsidR="004C6C1B" w:rsidRPr="005C2A78" w:rsidRDefault="004C6C1B" w:rsidP="00CE1F40">
      <w:pPr>
        <w:spacing w:after="0" w:line="240" w:lineRule="auto"/>
        <w:ind w:left="2160"/>
        <w:jc w:val="both"/>
        <w:rPr>
          <w:rFonts w:eastAsia="Times New Roman" w:cs="Times New Roman"/>
          <w:szCs w:val="24"/>
        </w:rPr>
      </w:pPr>
      <w:r>
        <w:rPr>
          <w:rFonts w:eastAsia="Times New Roman" w:cs="Times New Roman"/>
          <w:szCs w:val="24"/>
        </w:rPr>
        <w:t>(2) there is no known person with the duty to inter the deceased person's remains under Section 711.002(a) (</w:t>
      </w:r>
      <w:r w:rsidRPr="00500C19">
        <w:rPr>
          <w:rFonts w:eastAsia="Times New Roman" w:cs="Times New Roman"/>
          <w:szCs w:val="24"/>
        </w:rPr>
        <w:t xml:space="preserve">relating to providing that unless a decedent has left directions in writing for the disposition of the decedent's remains, certain persons in the priority listed, have the right to control the disposition, including cremation, of the decedent's remains, </w:t>
      </w:r>
      <w:r>
        <w:rPr>
          <w:rFonts w:eastAsia="Times New Roman" w:cs="Times New Roman"/>
          <w:szCs w:val="24"/>
        </w:rPr>
        <w:t>are</w:t>
      </w:r>
      <w:r w:rsidRPr="00500C19">
        <w:rPr>
          <w:rFonts w:eastAsia="Times New Roman" w:cs="Times New Roman"/>
          <w:szCs w:val="24"/>
        </w:rPr>
        <w:t xml:space="preserve"> required to inter the remains, and are liable for the reasonable cost of interment</w:t>
      </w:r>
      <w:r>
        <w:rPr>
          <w:rFonts w:eastAsia="Times New Roman" w:cs="Times New Roman"/>
          <w:szCs w:val="24"/>
        </w:rPr>
        <w:t>), Health and Safety Code.</w:t>
      </w:r>
    </w:p>
    <w:p w:rsidR="004C6C1B" w:rsidRPr="005C2A78" w:rsidRDefault="004C6C1B" w:rsidP="00CE1F40">
      <w:pPr>
        <w:spacing w:after="0" w:line="240" w:lineRule="auto"/>
        <w:jc w:val="both"/>
        <w:rPr>
          <w:rFonts w:eastAsia="Times New Roman" w:cs="Times New Roman"/>
          <w:szCs w:val="24"/>
        </w:rPr>
      </w:pPr>
    </w:p>
    <w:p w:rsidR="004C6C1B" w:rsidRDefault="004C6C1B" w:rsidP="00CE1F4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49.04(a), Code of Criminal Procedure, as follows:</w:t>
      </w:r>
    </w:p>
    <w:p w:rsidR="004C6C1B" w:rsidRDefault="004C6C1B" w:rsidP="00CE1F40">
      <w:pPr>
        <w:spacing w:after="0" w:line="240" w:lineRule="auto"/>
        <w:jc w:val="both"/>
        <w:rPr>
          <w:rFonts w:eastAsia="Times New Roman" w:cs="Times New Roman"/>
          <w:szCs w:val="24"/>
        </w:rPr>
      </w:pPr>
    </w:p>
    <w:p w:rsidR="004C6C1B" w:rsidRDefault="004C6C1B" w:rsidP="00CE1F40">
      <w:pPr>
        <w:spacing w:after="0" w:line="240" w:lineRule="auto"/>
        <w:ind w:left="720"/>
        <w:jc w:val="both"/>
        <w:rPr>
          <w:rFonts w:eastAsia="Times New Roman" w:cs="Times New Roman"/>
          <w:szCs w:val="24"/>
        </w:rPr>
      </w:pPr>
      <w:r>
        <w:rPr>
          <w:rFonts w:eastAsia="Times New Roman" w:cs="Times New Roman"/>
          <w:szCs w:val="24"/>
        </w:rPr>
        <w:t xml:space="preserve">(a) Requires a justice of the peace to conduct an inquest into the death of a person who dies in the county served by the justice if: </w:t>
      </w:r>
    </w:p>
    <w:p w:rsidR="004C6C1B" w:rsidRDefault="004C6C1B" w:rsidP="00CE1F40">
      <w:pPr>
        <w:spacing w:after="0" w:line="240" w:lineRule="auto"/>
        <w:ind w:left="72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(3) the body or a body part of a person is found and either:</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ind w:left="2160"/>
        <w:jc w:val="both"/>
        <w:rPr>
          <w:rFonts w:eastAsia="Times New Roman" w:cs="Times New Roman"/>
          <w:szCs w:val="24"/>
        </w:rPr>
      </w:pPr>
      <w:r>
        <w:rPr>
          <w:rFonts w:eastAsia="Times New Roman" w:cs="Times New Roman"/>
          <w:szCs w:val="24"/>
        </w:rPr>
        <w:t>(A) the person is identified but the cause or circumstances of death are unknown; or</w:t>
      </w:r>
    </w:p>
    <w:p w:rsidR="004C6C1B" w:rsidRDefault="004C6C1B" w:rsidP="00CE1F40">
      <w:pPr>
        <w:spacing w:after="0" w:line="240" w:lineRule="auto"/>
        <w:ind w:left="2160"/>
        <w:jc w:val="both"/>
        <w:rPr>
          <w:rFonts w:eastAsia="Times New Roman" w:cs="Times New Roman"/>
          <w:szCs w:val="24"/>
        </w:rPr>
      </w:pPr>
    </w:p>
    <w:p w:rsidR="004C6C1B" w:rsidRDefault="004C6C1B" w:rsidP="00CE1F40">
      <w:pPr>
        <w:spacing w:after="0" w:line="240" w:lineRule="auto"/>
        <w:ind w:left="2160"/>
        <w:jc w:val="both"/>
        <w:rPr>
          <w:rFonts w:eastAsia="Times New Roman" w:cs="Times New Roman"/>
          <w:szCs w:val="24"/>
        </w:rPr>
      </w:pPr>
      <w:r>
        <w:rPr>
          <w:rFonts w:eastAsia="Times New Roman" w:cs="Times New Roman"/>
          <w:szCs w:val="24"/>
        </w:rPr>
        <w:t>(B) the person is unidentified, regardless of whether the cause or circumstances of death are known; or</w:t>
      </w:r>
    </w:p>
    <w:p w:rsidR="004C6C1B" w:rsidRDefault="004C6C1B" w:rsidP="00CE1F40">
      <w:pPr>
        <w:spacing w:after="0" w:line="240" w:lineRule="auto"/>
        <w:ind w:left="216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(4)-(8) makes no changes to these subdivisions.</w:t>
      </w:r>
    </w:p>
    <w:p w:rsidR="004C6C1B" w:rsidRDefault="004C6C1B" w:rsidP="00CE1F40">
      <w:pPr>
        <w:spacing w:after="0" w:line="240" w:lineRule="auto"/>
        <w:ind w:left="1440"/>
        <w:jc w:val="both"/>
        <w:rPr>
          <w:rFonts w:eastAsia="Times New Roman" w:cs="Times New Roman"/>
          <w:szCs w:val="24"/>
        </w:rPr>
      </w:pPr>
    </w:p>
    <w:p w:rsidR="004C6C1B" w:rsidRPr="005C2A78" w:rsidRDefault="004C6C1B" w:rsidP="00CE1F40">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w:t>
      </w:r>
    </w:p>
    <w:p w:rsidR="004C6C1B" w:rsidRPr="005C2A78" w:rsidRDefault="004C6C1B" w:rsidP="00CE1F40">
      <w:pPr>
        <w:spacing w:after="0" w:line="240" w:lineRule="auto"/>
        <w:jc w:val="both"/>
        <w:rPr>
          <w:rFonts w:eastAsia="Times New Roman" w:cs="Times New Roman"/>
          <w:szCs w:val="24"/>
        </w:rPr>
      </w:pPr>
    </w:p>
    <w:p w:rsidR="004C6C1B" w:rsidRDefault="004C6C1B" w:rsidP="00CE1F4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6(a), Article 49.25, Code of Criminal Procedure, as follows:</w:t>
      </w:r>
    </w:p>
    <w:p w:rsidR="004C6C1B" w:rsidRDefault="004C6C1B" w:rsidP="00CE1F40">
      <w:pPr>
        <w:spacing w:after="0" w:line="240" w:lineRule="auto"/>
        <w:jc w:val="both"/>
        <w:rPr>
          <w:rFonts w:eastAsia="Times New Roman" w:cs="Times New Roman"/>
          <w:szCs w:val="24"/>
        </w:rPr>
      </w:pPr>
    </w:p>
    <w:p w:rsidR="004C6C1B" w:rsidRDefault="004C6C1B" w:rsidP="00CE1F40">
      <w:pPr>
        <w:spacing w:after="0" w:line="240" w:lineRule="auto"/>
        <w:ind w:left="720"/>
        <w:jc w:val="both"/>
        <w:rPr>
          <w:rFonts w:eastAsia="Times New Roman" w:cs="Times New Roman"/>
          <w:szCs w:val="24"/>
        </w:rPr>
      </w:pPr>
      <w:r>
        <w:rPr>
          <w:rFonts w:eastAsia="Times New Roman" w:cs="Times New Roman"/>
          <w:szCs w:val="24"/>
        </w:rPr>
        <w:t>(a) Requires any medical examiner or his duly authorized deputy to be authorized, and requires that it be his duty, to hold inquests with or without a jury within his county in the following cases:</w:t>
      </w:r>
    </w:p>
    <w:p w:rsidR="004C6C1B" w:rsidRDefault="004C6C1B" w:rsidP="00CE1F40">
      <w:pPr>
        <w:spacing w:after="0" w:line="240" w:lineRule="auto"/>
        <w:ind w:left="72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(3) when the body or a body part of a person is found and either:</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ind w:left="2160"/>
        <w:jc w:val="both"/>
        <w:rPr>
          <w:rFonts w:eastAsia="Times New Roman" w:cs="Times New Roman"/>
          <w:szCs w:val="24"/>
        </w:rPr>
      </w:pPr>
      <w:r>
        <w:rPr>
          <w:rFonts w:eastAsia="Times New Roman" w:cs="Times New Roman"/>
          <w:szCs w:val="24"/>
        </w:rPr>
        <w:t>(A) the person is identified by the cause or circumstances of death are unknown; or</w:t>
      </w:r>
    </w:p>
    <w:p w:rsidR="004C6C1B" w:rsidRDefault="004C6C1B" w:rsidP="00CE1F40">
      <w:pPr>
        <w:spacing w:after="0" w:line="240" w:lineRule="auto"/>
        <w:ind w:left="2160"/>
        <w:jc w:val="both"/>
        <w:rPr>
          <w:rFonts w:eastAsia="Times New Roman" w:cs="Times New Roman"/>
          <w:szCs w:val="24"/>
        </w:rPr>
      </w:pPr>
    </w:p>
    <w:p w:rsidR="004C6C1B" w:rsidRDefault="004C6C1B" w:rsidP="00CE1F40">
      <w:pPr>
        <w:spacing w:after="0" w:line="240" w:lineRule="auto"/>
        <w:ind w:left="2160"/>
        <w:jc w:val="both"/>
        <w:rPr>
          <w:rFonts w:eastAsia="Times New Roman" w:cs="Times New Roman"/>
          <w:szCs w:val="24"/>
        </w:rPr>
      </w:pPr>
      <w:r>
        <w:rPr>
          <w:rFonts w:eastAsia="Times New Roman" w:cs="Times New Roman"/>
          <w:szCs w:val="24"/>
        </w:rPr>
        <w:t>(B) the person is unidentified, regardless of whether the cause or circumstances of the death are known; and</w:t>
      </w:r>
    </w:p>
    <w:p w:rsidR="004C6C1B" w:rsidRDefault="004C6C1B" w:rsidP="00CE1F40">
      <w:pPr>
        <w:spacing w:after="0" w:line="240" w:lineRule="auto"/>
        <w:ind w:left="216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(4)-(8) makes no changes to these subdivisions.</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4C6C1B" w:rsidRDefault="004C6C1B" w:rsidP="00CE1F40">
      <w:pPr>
        <w:spacing w:after="0" w:line="240" w:lineRule="auto"/>
        <w:ind w:left="1440"/>
        <w:jc w:val="both"/>
        <w:rPr>
          <w:rFonts w:eastAsia="Times New Roman" w:cs="Times New Roman"/>
          <w:szCs w:val="24"/>
        </w:rPr>
      </w:pPr>
    </w:p>
    <w:p w:rsidR="004C6C1B" w:rsidRDefault="004C6C1B" w:rsidP="00CE1F40">
      <w:pPr>
        <w:spacing w:after="0" w:line="240" w:lineRule="auto"/>
        <w:jc w:val="both"/>
        <w:rPr>
          <w:rFonts w:eastAsia="Times New Roman" w:cs="Times New Roman"/>
          <w:szCs w:val="24"/>
        </w:rPr>
      </w:pPr>
      <w:r>
        <w:rPr>
          <w:rFonts w:eastAsia="Times New Roman" w:cs="Times New Roman"/>
          <w:szCs w:val="24"/>
        </w:rPr>
        <w:t xml:space="preserve">SECTION 4. Makes application of Articles 49.01, 49.04, and 49.25, Code of Criminal Procedure, as amended by this Act, prospective. </w:t>
      </w:r>
    </w:p>
    <w:p w:rsidR="004C6C1B" w:rsidRDefault="004C6C1B" w:rsidP="00CE1F40">
      <w:pPr>
        <w:spacing w:after="0" w:line="240" w:lineRule="auto"/>
        <w:jc w:val="both"/>
        <w:rPr>
          <w:rFonts w:eastAsia="Times New Roman" w:cs="Times New Roman"/>
          <w:szCs w:val="24"/>
        </w:rPr>
      </w:pPr>
    </w:p>
    <w:p w:rsidR="004C6C1B" w:rsidRDefault="004C6C1B" w:rsidP="00CE1F40">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p w:rsidR="004C6C1B" w:rsidRDefault="004C6C1B" w:rsidP="00500C19">
      <w:pPr>
        <w:spacing w:after="0" w:line="480" w:lineRule="auto"/>
        <w:jc w:val="both"/>
        <w:rPr>
          <w:rFonts w:eastAsia="Times New Roman" w:cs="Times New Roman"/>
          <w:szCs w:val="24"/>
        </w:rPr>
      </w:pPr>
    </w:p>
    <w:p w:rsidR="004C6C1B" w:rsidRPr="00C8671F" w:rsidRDefault="004C6C1B" w:rsidP="00500C19">
      <w:pPr>
        <w:spacing w:after="0" w:line="480" w:lineRule="auto"/>
        <w:jc w:val="both"/>
        <w:rPr>
          <w:rFonts w:eastAsia="Times New Roman" w:cs="Times New Roman"/>
          <w:szCs w:val="24"/>
        </w:rPr>
      </w:pPr>
    </w:p>
    <w:sectPr w:rsidR="004C6C1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3A4" w:rsidRDefault="008A63A4" w:rsidP="000F1DF9">
      <w:pPr>
        <w:spacing w:after="0" w:line="240" w:lineRule="auto"/>
      </w:pPr>
      <w:r>
        <w:separator/>
      </w:r>
    </w:p>
  </w:endnote>
  <w:endnote w:type="continuationSeparator" w:id="0">
    <w:p w:rsidR="008A63A4" w:rsidRDefault="008A63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63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6C1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6C1B">
                <w:rPr>
                  <w:sz w:val="20"/>
                  <w:szCs w:val="20"/>
                </w:rPr>
                <w:t>H.B. 3161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6C1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63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3A4" w:rsidRDefault="008A63A4" w:rsidP="000F1DF9">
      <w:pPr>
        <w:spacing w:after="0" w:line="240" w:lineRule="auto"/>
      </w:pPr>
      <w:r>
        <w:separator/>
      </w:r>
    </w:p>
  </w:footnote>
  <w:footnote w:type="continuationSeparator" w:id="0">
    <w:p w:rsidR="008A63A4" w:rsidRDefault="008A63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1B08"/>
    <w:multiLevelType w:val="multilevel"/>
    <w:tmpl w:val="523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B02A69"/>
    <w:multiLevelType w:val="multilevel"/>
    <w:tmpl w:val="8EA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B29E6"/>
    <w:multiLevelType w:val="multilevel"/>
    <w:tmpl w:val="38A2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6C1B"/>
    <w:rsid w:val="00503AD0"/>
    <w:rsid w:val="005320AA"/>
    <w:rsid w:val="00544B9F"/>
    <w:rsid w:val="00585C31"/>
    <w:rsid w:val="005A7918"/>
    <w:rsid w:val="005E0AC7"/>
    <w:rsid w:val="005F46D7"/>
    <w:rsid w:val="00605CA0"/>
    <w:rsid w:val="006529C4"/>
    <w:rsid w:val="006D756B"/>
    <w:rsid w:val="00774EC7"/>
    <w:rsid w:val="00833061"/>
    <w:rsid w:val="008A63A4"/>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A878"/>
  <w15:docId w15:val="{89C2303C-596B-4E6B-83C3-D48A14F1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6C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38A63BD8834E408C6ED8B50501DFB2"/>
        <w:category>
          <w:name w:val="General"/>
          <w:gallery w:val="placeholder"/>
        </w:category>
        <w:types>
          <w:type w:val="bbPlcHdr"/>
        </w:types>
        <w:behaviors>
          <w:behavior w:val="content"/>
        </w:behaviors>
        <w:guid w:val="{C6229D96-9BD6-4D5C-B6ED-A743E4908A76}"/>
      </w:docPartPr>
      <w:docPartBody>
        <w:p w:rsidR="00000000" w:rsidRDefault="008A5986"/>
      </w:docPartBody>
    </w:docPart>
    <w:docPart>
      <w:docPartPr>
        <w:name w:val="630A8C10847648CBAC801B1F81666EBB"/>
        <w:category>
          <w:name w:val="General"/>
          <w:gallery w:val="placeholder"/>
        </w:category>
        <w:types>
          <w:type w:val="bbPlcHdr"/>
        </w:types>
        <w:behaviors>
          <w:behavior w:val="content"/>
        </w:behaviors>
        <w:guid w:val="{E6C4C3E3-1C52-4EB9-B7D2-F387E9E47D47}"/>
      </w:docPartPr>
      <w:docPartBody>
        <w:p w:rsidR="00000000" w:rsidRDefault="008A5986"/>
      </w:docPartBody>
    </w:docPart>
    <w:docPart>
      <w:docPartPr>
        <w:name w:val="0974C32F8A7E495A94A55EC60EC20864"/>
        <w:category>
          <w:name w:val="General"/>
          <w:gallery w:val="placeholder"/>
        </w:category>
        <w:types>
          <w:type w:val="bbPlcHdr"/>
        </w:types>
        <w:behaviors>
          <w:behavior w:val="content"/>
        </w:behaviors>
        <w:guid w:val="{47B6B8AD-DDC8-4C7C-BDFF-75C52769D799}"/>
      </w:docPartPr>
      <w:docPartBody>
        <w:p w:rsidR="00000000" w:rsidRDefault="008A5986"/>
      </w:docPartBody>
    </w:docPart>
    <w:docPart>
      <w:docPartPr>
        <w:name w:val="40C731D7F52848A49B8B57B989ED0C70"/>
        <w:category>
          <w:name w:val="General"/>
          <w:gallery w:val="placeholder"/>
        </w:category>
        <w:types>
          <w:type w:val="bbPlcHdr"/>
        </w:types>
        <w:behaviors>
          <w:behavior w:val="content"/>
        </w:behaviors>
        <w:guid w:val="{47ECBEEA-76B7-413F-AC5E-B3B207C51CE9}"/>
      </w:docPartPr>
      <w:docPartBody>
        <w:p w:rsidR="00000000" w:rsidRDefault="008A5986"/>
      </w:docPartBody>
    </w:docPart>
    <w:docPart>
      <w:docPartPr>
        <w:name w:val="6BF0EB9DC8E24751861CA5AB25E2CA08"/>
        <w:category>
          <w:name w:val="General"/>
          <w:gallery w:val="placeholder"/>
        </w:category>
        <w:types>
          <w:type w:val="bbPlcHdr"/>
        </w:types>
        <w:behaviors>
          <w:behavior w:val="content"/>
        </w:behaviors>
        <w:guid w:val="{CA0292DC-BC99-4F29-BA4E-08991CBDAEFB}"/>
      </w:docPartPr>
      <w:docPartBody>
        <w:p w:rsidR="00000000" w:rsidRDefault="008A5986"/>
      </w:docPartBody>
    </w:docPart>
    <w:docPart>
      <w:docPartPr>
        <w:name w:val="C65B556583B948C7B096D9A9A5CFA2EF"/>
        <w:category>
          <w:name w:val="General"/>
          <w:gallery w:val="placeholder"/>
        </w:category>
        <w:types>
          <w:type w:val="bbPlcHdr"/>
        </w:types>
        <w:behaviors>
          <w:behavior w:val="content"/>
        </w:behaviors>
        <w:guid w:val="{56C6C353-7CBD-4E23-9B66-983AF433CC8C}"/>
      </w:docPartPr>
      <w:docPartBody>
        <w:p w:rsidR="00000000" w:rsidRDefault="008A5986"/>
      </w:docPartBody>
    </w:docPart>
    <w:docPart>
      <w:docPartPr>
        <w:name w:val="D03BD17AE0F648CEA76BDFBC03F6051B"/>
        <w:category>
          <w:name w:val="General"/>
          <w:gallery w:val="placeholder"/>
        </w:category>
        <w:types>
          <w:type w:val="bbPlcHdr"/>
        </w:types>
        <w:behaviors>
          <w:behavior w:val="content"/>
        </w:behaviors>
        <w:guid w:val="{22229F8E-38AD-494A-88B4-ECC354E3E8D6}"/>
      </w:docPartPr>
      <w:docPartBody>
        <w:p w:rsidR="00000000" w:rsidRDefault="008A5986"/>
      </w:docPartBody>
    </w:docPart>
    <w:docPart>
      <w:docPartPr>
        <w:name w:val="489C0BEE1BE647F2835D0F43F1714A64"/>
        <w:category>
          <w:name w:val="General"/>
          <w:gallery w:val="placeholder"/>
        </w:category>
        <w:types>
          <w:type w:val="bbPlcHdr"/>
        </w:types>
        <w:behaviors>
          <w:behavior w:val="content"/>
        </w:behaviors>
        <w:guid w:val="{E29BB3DD-0AD9-4FBD-A825-8ADC0723FF4D}"/>
      </w:docPartPr>
      <w:docPartBody>
        <w:p w:rsidR="00000000" w:rsidRDefault="008A5986"/>
      </w:docPartBody>
    </w:docPart>
    <w:docPart>
      <w:docPartPr>
        <w:name w:val="B58A3C05B3ED46A3A7AEB5F4A36EA5F5"/>
        <w:category>
          <w:name w:val="General"/>
          <w:gallery w:val="placeholder"/>
        </w:category>
        <w:types>
          <w:type w:val="bbPlcHdr"/>
        </w:types>
        <w:behaviors>
          <w:behavior w:val="content"/>
        </w:behaviors>
        <w:guid w:val="{DA11AE75-2A00-4FE4-8BF5-ACD4EEE3CDB3}"/>
      </w:docPartPr>
      <w:docPartBody>
        <w:p w:rsidR="00000000" w:rsidRDefault="008A5986"/>
      </w:docPartBody>
    </w:docPart>
    <w:docPart>
      <w:docPartPr>
        <w:name w:val="24CF4836E4DE4C1686DAF99A06568309"/>
        <w:category>
          <w:name w:val="General"/>
          <w:gallery w:val="placeholder"/>
        </w:category>
        <w:types>
          <w:type w:val="bbPlcHdr"/>
        </w:types>
        <w:behaviors>
          <w:behavior w:val="content"/>
        </w:behaviors>
        <w:guid w:val="{6355A267-3CA5-40DD-A942-1F12DA8D332E}"/>
      </w:docPartPr>
      <w:docPartBody>
        <w:p w:rsidR="00000000" w:rsidRDefault="00C46676" w:rsidP="00C46676">
          <w:pPr>
            <w:pStyle w:val="24CF4836E4DE4C1686DAF99A06568309"/>
          </w:pPr>
          <w:r w:rsidRPr="00A30DD1">
            <w:rPr>
              <w:rStyle w:val="PlaceholderText"/>
            </w:rPr>
            <w:t>Click here to enter a date.</w:t>
          </w:r>
        </w:p>
      </w:docPartBody>
    </w:docPart>
    <w:docPart>
      <w:docPartPr>
        <w:name w:val="B174B6D4E9124B48B75A851B85FF85E6"/>
        <w:category>
          <w:name w:val="General"/>
          <w:gallery w:val="placeholder"/>
        </w:category>
        <w:types>
          <w:type w:val="bbPlcHdr"/>
        </w:types>
        <w:behaviors>
          <w:behavior w:val="content"/>
        </w:behaviors>
        <w:guid w:val="{9176EBD5-4C77-4916-A324-AC598EAF442D}"/>
      </w:docPartPr>
      <w:docPartBody>
        <w:p w:rsidR="00000000" w:rsidRDefault="008A5986"/>
      </w:docPartBody>
    </w:docPart>
    <w:docPart>
      <w:docPartPr>
        <w:name w:val="3D4675703C9A4C348EE6E27A85787B84"/>
        <w:category>
          <w:name w:val="General"/>
          <w:gallery w:val="placeholder"/>
        </w:category>
        <w:types>
          <w:type w:val="bbPlcHdr"/>
        </w:types>
        <w:behaviors>
          <w:behavior w:val="content"/>
        </w:behaviors>
        <w:guid w:val="{0B9CF089-F717-4E02-8B4D-361E91B42C72}"/>
      </w:docPartPr>
      <w:docPartBody>
        <w:p w:rsidR="00000000" w:rsidRDefault="008A5986"/>
      </w:docPartBody>
    </w:docPart>
    <w:docPart>
      <w:docPartPr>
        <w:name w:val="52D838C8132A4EC3A955FA7604F6B986"/>
        <w:category>
          <w:name w:val="General"/>
          <w:gallery w:val="placeholder"/>
        </w:category>
        <w:types>
          <w:type w:val="bbPlcHdr"/>
        </w:types>
        <w:behaviors>
          <w:behavior w:val="content"/>
        </w:behaviors>
        <w:guid w:val="{711B56B7-927E-44BF-8CAF-A1C5AB0FBE21}"/>
      </w:docPartPr>
      <w:docPartBody>
        <w:p w:rsidR="00000000" w:rsidRDefault="00C46676" w:rsidP="00C46676">
          <w:pPr>
            <w:pStyle w:val="52D838C8132A4EC3A955FA7604F6B986"/>
          </w:pPr>
          <w:r>
            <w:rPr>
              <w:rFonts w:eastAsia="Times New Roman" w:cs="Times New Roman"/>
              <w:bCs/>
              <w:szCs w:val="24"/>
            </w:rPr>
            <w:t xml:space="preserve"> </w:t>
          </w:r>
        </w:p>
      </w:docPartBody>
    </w:docPart>
    <w:docPart>
      <w:docPartPr>
        <w:name w:val="9479E1C2603F447981F992F73EE2D7FC"/>
        <w:category>
          <w:name w:val="General"/>
          <w:gallery w:val="placeholder"/>
        </w:category>
        <w:types>
          <w:type w:val="bbPlcHdr"/>
        </w:types>
        <w:behaviors>
          <w:behavior w:val="content"/>
        </w:behaviors>
        <w:guid w:val="{5B257FC2-D05C-447D-9AAE-94FF4DC2BB6A}"/>
      </w:docPartPr>
      <w:docPartBody>
        <w:p w:rsidR="00000000" w:rsidRDefault="008A5986"/>
      </w:docPartBody>
    </w:docPart>
    <w:docPart>
      <w:docPartPr>
        <w:name w:val="C2108593DBBD4681BD474DA19D534C41"/>
        <w:category>
          <w:name w:val="General"/>
          <w:gallery w:val="placeholder"/>
        </w:category>
        <w:types>
          <w:type w:val="bbPlcHdr"/>
        </w:types>
        <w:behaviors>
          <w:behavior w:val="content"/>
        </w:behaviors>
        <w:guid w:val="{39A6A392-B59F-4201-99DE-7A6C2D8304D7}"/>
      </w:docPartPr>
      <w:docPartBody>
        <w:p w:rsidR="00000000" w:rsidRDefault="008A5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5986"/>
    <w:rsid w:val="008C55F7"/>
    <w:rsid w:val="0090598B"/>
    <w:rsid w:val="00984D6C"/>
    <w:rsid w:val="00A54AD6"/>
    <w:rsid w:val="00A57564"/>
    <w:rsid w:val="00B252A4"/>
    <w:rsid w:val="00B5530B"/>
    <w:rsid w:val="00C129E8"/>
    <w:rsid w:val="00C4667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676"/>
    <w:rPr>
      <w:color w:val="808080"/>
    </w:rPr>
  </w:style>
  <w:style w:type="paragraph" w:customStyle="1" w:styleId="24CF4836E4DE4C1686DAF99A06568309">
    <w:name w:val="24CF4836E4DE4C1686DAF99A06568309"/>
    <w:rsid w:val="00C46676"/>
    <w:pPr>
      <w:spacing w:after="160" w:line="259" w:lineRule="auto"/>
    </w:pPr>
  </w:style>
  <w:style w:type="paragraph" w:customStyle="1" w:styleId="52D838C8132A4EC3A955FA7604F6B986">
    <w:name w:val="52D838C8132A4EC3A955FA7604F6B986"/>
    <w:rsid w:val="00C4667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677</Words>
  <Characters>3860</Characters>
  <Application>Microsoft Office Word</Application>
  <DocSecurity>0</DocSecurity>
  <Lines>32</Lines>
  <Paragraphs>9</Paragraphs>
  <ScaleCrop>false</ScaleCrop>
  <Company>Texas Legislative Council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2023-05-15T21:43:00Z</dcterms:modified>
</cp:coreProperties>
</file>

<file path=docProps/custom.xml><?xml version="1.0" encoding="utf-8"?>
<op:Properties xmlns:vt="http://schemas.openxmlformats.org/officeDocument/2006/docPropsVTypes" xmlns:op="http://schemas.openxmlformats.org/officeDocument/2006/custom-properties"/>
</file>