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7300C" w14:paraId="50D7E948" w14:textId="77777777" w:rsidTr="00345119">
        <w:tc>
          <w:tcPr>
            <w:tcW w:w="9576" w:type="dxa"/>
            <w:noWrap/>
          </w:tcPr>
          <w:p w14:paraId="5562F82E" w14:textId="77777777" w:rsidR="008423E4" w:rsidRPr="0022177D" w:rsidRDefault="00D04D79" w:rsidP="00CE1ED3">
            <w:pPr>
              <w:pStyle w:val="Heading1"/>
            </w:pPr>
            <w:r w:rsidRPr="00631897">
              <w:t>BILL ANALYSIS</w:t>
            </w:r>
          </w:p>
        </w:tc>
      </w:tr>
    </w:tbl>
    <w:p w14:paraId="061D5091" w14:textId="77777777" w:rsidR="008423E4" w:rsidRPr="0022177D" w:rsidRDefault="008423E4" w:rsidP="00CE1ED3">
      <w:pPr>
        <w:jc w:val="center"/>
      </w:pPr>
    </w:p>
    <w:p w14:paraId="2DA88340" w14:textId="77777777" w:rsidR="008423E4" w:rsidRPr="00B31F0E" w:rsidRDefault="008423E4" w:rsidP="00CE1ED3"/>
    <w:p w14:paraId="34BFE70C" w14:textId="77777777" w:rsidR="008423E4" w:rsidRPr="00742794" w:rsidRDefault="008423E4" w:rsidP="00CE1ED3">
      <w:pPr>
        <w:tabs>
          <w:tab w:val="right" w:pos="9360"/>
        </w:tabs>
      </w:pPr>
    </w:p>
    <w:tbl>
      <w:tblPr>
        <w:tblW w:w="0" w:type="auto"/>
        <w:tblLayout w:type="fixed"/>
        <w:tblLook w:val="01E0" w:firstRow="1" w:lastRow="1" w:firstColumn="1" w:lastColumn="1" w:noHBand="0" w:noVBand="0"/>
      </w:tblPr>
      <w:tblGrid>
        <w:gridCol w:w="9576"/>
      </w:tblGrid>
      <w:tr w:rsidR="0087300C" w14:paraId="0B707827" w14:textId="77777777" w:rsidTr="00345119">
        <w:tc>
          <w:tcPr>
            <w:tcW w:w="9576" w:type="dxa"/>
          </w:tcPr>
          <w:p w14:paraId="410F850F" w14:textId="2A4DFFCF" w:rsidR="008423E4" w:rsidRPr="00861995" w:rsidRDefault="00D04D79" w:rsidP="00CE1ED3">
            <w:pPr>
              <w:jc w:val="right"/>
            </w:pPr>
            <w:r>
              <w:t>C.S.H.B. 3170</w:t>
            </w:r>
          </w:p>
        </w:tc>
      </w:tr>
      <w:tr w:rsidR="0087300C" w14:paraId="3FA928C0" w14:textId="77777777" w:rsidTr="00345119">
        <w:tc>
          <w:tcPr>
            <w:tcW w:w="9576" w:type="dxa"/>
          </w:tcPr>
          <w:p w14:paraId="74BE32A0" w14:textId="08D54564" w:rsidR="008423E4" w:rsidRPr="00861995" w:rsidRDefault="00D04D79" w:rsidP="00CE1ED3">
            <w:pPr>
              <w:jc w:val="right"/>
            </w:pPr>
            <w:r>
              <w:t xml:space="preserve">By: </w:t>
            </w:r>
            <w:r w:rsidR="00B86A04">
              <w:t>Leach</w:t>
            </w:r>
          </w:p>
        </w:tc>
      </w:tr>
      <w:tr w:rsidR="0087300C" w14:paraId="5A603E1E" w14:textId="77777777" w:rsidTr="00345119">
        <w:tc>
          <w:tcPr>
            <w:tcW w:w="9576" w:type="dxa"/>
          </w:tcPr>
          <w:p w14:paraId="578D14B5" w14:textId="2E4E8662" w:rsidR="008423E4" w:rsidRPr="00861995" w:rsidRDefault="00D04D79" w:rsidP="00CE1ED3">
            <w:pPr>
              <w:jc w:val="right"/>
            </w:pPr>
            <w:r>
              <w:t>Judiciary &amp; Civil Jurisprudence</w:t>
            </w:r>
          </w:p>
        </w:tc>
      </w:tr>
      <w:tr w:rsidR="0087300C" w14:paraId="49330674" w14:textId="77777777" w:rsidTr="00345119">
        <w:tc>
          <w:tcPr>
            <w:tcW w:w="9576" w:type="dxa"/>
          </w:tcPr>
          <w:p w14:paraId="393BE0FC" w14:textId="0493382A" w:rsidR="008423E4" w:rsidRDefault="00D04D79" w:rsidP="00CE1ED3">
            <w:pPr>
              <w:jc w:val="right"/>
            </w:pPr>
            <w:r>
              <w:t>Committee Report (Substituted)</w:t>
            </w:r>
          </w:p>
        </w:tc>
      </w:tr>
    </w:tbl>
    <w:p w14:paraId="458B60FD" w14:textId="77777777" w:rsidR="008423E4" w:rsidRDefault="008423E4" w:rsidP="00CE1ED3">
      <w:pPr>
        <w:tabs>
          <w:tab w:val="right" w:pos="9360"/>
        </w:tabs>
      </w:pPr>
    </w:p>
    <w:p w14:paraId="0F14A361" w14:textId="77777777" w:rsidR="008423E4" w:rsidRDefault="008423E4" w:rsidP="00CE1ED3"/>
    <w:p w14:paraId="25CC6F12" w14:textId="77777777" w:rsidR="008423E4" w:rsidRDefault="008423E4" w:rsidP="00CE1ED3"/>
    <w:tbl>
      <w:tblPr>
        <w:tblW w:w="0" w:type="auto"/>
        <w:tblCellMar>
          <w:left w:w="115" w:type="dxa"/>
          <w:right w:w="115" w:type="dxa"/>
        </w:tblCellMar>
        <w:tblLook w:val="01E0" w:firstRow="1" w:lastRow="1" w:firstColumn="1" w:lastColumn="1" w:noHBand="0" w:noVBand="0"/>
      </w:tblPr>
      <w:tblGrid>
        <w:gridCol w:w="9360"/>
      </w:tblGrid>
      <w:tr w:rsidR="0087300C" w14:paraId="153B454D" w14:textId="77777777" w:rsidTr="00345119">
        <w:tc>
          <w:tcPr>
            <w:tcW w:w="9576" w:type="dxa"/>
          </w:tcPr>
          <w:p w14:paraId="2ECDCD2C" w14:textId="77777777" w:rsidR="008423E4" w:rsidRPr="00A8133F" w:rsidRDefault="00D04D79" w:rsidP="00CE1ED3">
            <w:pPr>
              <w:rPr>
                <w:b/>
              </w:rPr>
            </w:pPr>
            <w:r w:rsidRPr="009C1E9A">
              <w:rPr>
                <w:b/>
                <w:u w:val="single"/>
              </w:rPr>
              <w:t>BACKGROUND AND PURPOSE</w:t>
            </w:r>
            <w:r>
              <w:rPr>
                <w:b/>
              </w:rPr>
              <w:t xml:space="preserve"> </w:t>
            </w:r>
          </w:p>
          <w:p w14:paraId="182D1844" w14:textId="77777777" w:rsidR="0091219E" w:rsidRDefault="0091219E" w:rsidP="00CE1ED3">
            <w:pPr>
              <w:pStyle w:val="Header"/>
              <w:jc w:val="both"/>
            </w:pPr>
          </w:p>
          <w:p w14:paraId="74EC099A" w14:textId="60C3A074" w:rsidR="008423E4" w:rsidRDefault="00D04D79" w:rsidP="00CE1ED3">
            <w:pPr>
              <w:pStyle w:val="Header"/>
              <w:jc w:val="both"/>
            </w:pPr>
            <w:r>
              <w:t>Under current law tools, equipment, books</w:t>
            </w:r>
            <w:r w:rsidR="00267E88">
              <w:t>,</w:t>
            </w:r>
            <w:r>
              <w:t xml:space="preserve"> and apparatus used in a trade or profession are exempt from seizure. However, frequently tools that are not used in that manner are being claimed as exempt property. C.S.H.B. 3170 seeks to address this issue by specifying that in order to claim the exempt</w:t>
            </w:r>
            <w:r>
              <w:t>ion, the tools or property in question must be used by the debtor or a member of their family in a trade or profession. The legislation also requires that a vehicle be licensed, registered</w:t>
            </w:r>
            <w:r w:rsidR="00392685">
              <w:t>,</w:t>
            </w:r>
            <w:r>
              <w:t xml:space="preserve"> and insure</w:t>
            </w:r>
            <w:r w:rsidR="00392685">
              <w:t>d</w:t>
            </w:r>
            <w:r>
              <w:t xml:space="preserve"> in order to qualify for the exemption. This protects t</w:t>
            </w:r>
            <w:r>
              <w:t xml:space="preserve">he </w:t>
            </w:r>
            <w:r w:rsidR="000854BB">
              <w:t xml:space="preserve">debtor's </w:t>
            </w:r>
            <w:r>
              <w:t>right to the vehicle for purposes of traveling to and from work or transporting their families, but would not protect ATVs, dirt bikes, golf carts, autocycles, and hobby cars.</w:t>
            </w:r>
          </w:p>
          <w:p w14:paraId="1E393F3A" w14:textId="77777777" w:rsidR="008423E4" w:rsidRPr="00E26B13" w:rsidRDefault="008423E4" w:rsidP="00CE1ED3">
            <w:pPr>
              <w:rPr>
                <w:b/>
              </w:rPr>
            </w:pPr>
          </w:p>
        </w:tc>
      </w:tr>
      <w:tr w:rsidR="0087300C" w14:paraId="3EF9EA2A" w14:textId="77777777" w:rsidTr="00345119">
        <w:tc>
          <w:tcPr>
            <w:tcW w:w="9576" w:type="dxa"/>
          </w:tcPr>
          <w:p w14:paraId="1DDE5B6A" w14:textId="77777777" w:rsidR="0017725B" w:rsidRDefault="00D04D79" w:rsidP="00CE1ED3">
            <w:pPr>
              <w:rPr>
                <w:b/>
                <w:u w:val="single"/>
              </w:rPr>
            </w:pPr>
            <w:r>
              <w:rPr>
                <w:b/>
                <w:u w:val="single"/>
              </w:rPr>
              <w:t>CRIMINAL JUSTICE IMPACT</w:t>
            </w:r>
          </w:p>
          <w:p w14:paraId="7665AD13" w14:textId="77777777" w:rsidR="0017725B" w:rsidRDefault="0017725B" w:rsidP="00CE1ED3">
            <w:pPr>
              <w:rPr>
                <w:b/>
                <w:u w:val="single"/>
              </w:rPr>
            </w:pPr>
          </w:p>
          <w:p w14:paraId="71455E0B" w14:textId="0D35D220" w:rsidR="007E7477" w:rsidRPr="007E7477" w:rsidRDefault="00D04D79" w:rsidP="00CE1ED3">
            <w:pPr>
              <w:jc w:val="both"/>
            </w:pPr>
            <w:r>
              <w:t>It is the committee's opinion that this b</w:t>
            </w:r>
            <w:r>
              <w:t>ill does not expressly create a criminal offense, increase the punishment for an existing criminal offense or category of offenses, or change the eligibility of a person for community supervision, parole, or mandatory supervision.</w:t>
            </w:r>
          </w:p>
          <w:p w14:paraId="6029CF13" w14:textId="77777777" w:rsidR="0017725B" w:rsidRPr="0017725B" w:rsidRDefault="0017725B" w:rsidP="00CE1ED3">
            <w:pPr>
              <w:rPr>
                <w:b/>
                <w:u w:val="single"/>
              </w:rPr>
            </w:pPr>
          </w:p>
        </w:tc>
      </w:tr>
      <w:tr w:rsidR="0087300C" w14:paraId="44229962" w14:textId="77777777" w:rsidTr="00345119">
        <w:tc>
          <w:tcPr>
            <w:tcW w:w="9576" w:type="dxa"/>
          </w:tcPr>
          <w:p w14:paraId="14991411" w14:textId="77777777" w:rsidR="008423E4" w:rsidRPr="00A8133F" w:rsidRDefault="00D04D79" w:rsidP="00CE1ED3">
            <w:pPr>
              <w:rPr>
                <w:b/>
              </w:rPr>
            </w:pPr>
            <w:r w:rsidRPr="009C1E9A">
              <w:rPr>
                <w:b/>
                <w:u w:val="single"/>
              </w:rPr>
              <w:t>RULEMAKING AUTHORITY</w:t>
            </w:r>
            <w:r>
              <w:rPr>
                <w:b/>
              </w:rPr>
              <w:t xml:space="preserve"> </w:t>
            </w:r>
          </w:p>
          <w:p w14:paraId="4FA39C9A" w14:textId="77777777" w:rsidR="008423E4" w:rsidRDefault="008423E4" w:rsidP="00CE1ED3"/>
          <w:p w14:paraId="030F36F1" w14:textId="79BB7DEF" w:rsidR="007E7477" w:rsidRDefault="00D04D79" w:rsidP="00CE1ED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399F397" w14:textId="77777777" w:rsidR="008423E4" w:rsidRPr="00E21FDC" w:rsidRDefault="008423E4" w:rsidP="00CE1ED3">
            <w:pPr>
              <w:rPr>
                <w:b/>
              </w:rPr>
            </w:pPr>
          </w:p>
        </w:tc>
      </w:tr>
      <w:tr w:rsidR="0087300C" w14:paraId="1821CD06" w14:textId="77777777" w:rsidTr="00345119">
        <w:tc>
          <w:tcPr>
            <w:tcW w:w="9576" w:type="dxa"/>
          </w:tcPr>
          <w:p w14:paraId="7E6320E9" w14:textId="77777777" w:rsidR="008423E4" w:rsidRPr="00A8133F" w:rsidRDefault="00D04D79" w:rsidP="00CE1ED3">
            <w:pPr>
              <w:rPr>
                <w:b/>
              </w:rPr>
            </w:pPr>
            <w:r w:rsidRPr="009C1E9A">
              <w:rPr>
                <w:b/>
                <w:u w:val="single"/>
              </w:rPr>
              <w:t>ANALYSIS</w:t>
            </w:r>
            <w:r>
              <w:rPr>
                <w:b/>
              </w:rPr>
              <w:t xml:space="preserve"> </w:t>
            </w:r>
          </w:p>
          <w:p w14:paraId="3BF28275" w14:textId="77777777" w:rsidR="008423E4" w:rsidRDefault="008423E4" w:rsidP="00CE1ED3"/>
          <w:p w14:paraId="488C75C3" w14:textId="484C64C1" w:rsidR="00523E94" w:rsidRDefault="00D04D79" w:rsidP="00CE1ED3">
            <w:pPr>
              <w:pStyle w:val="Header"/>
              <w:tabs>
                <w:tab w:val="clear" w:pos="4320"/>
                <w:tab w:val="clear" w:pos="8640"/>
              </w:tabs>
              <w:jc w:val="both"/>
            </w:pPr>
            <w:r>
              <w:t>C.S.</w:t>
            </w:r>
            <w:r w:rsidR="007E7477">
              <w:t xml:space="preserve">H.B. 3170 amends the </w:t>
            </w:r>
            <w:r w:rsidR="007E7477" w:rsidRPr="007E7477">
              <w:t>Property Code</w:t>
            </w:r>
            <w:r w:rsidR="007E7477">
              <w:t xml:space="preserve"> to </w:t>
            </w:r>
            <w:r w:rsidR="00D017C1">
              <w:t>specify that the exemption</w:t>
            </w:r>
            <w:r>
              <w:t xml:space="preserve"> </w:t>
            </w:r>
            <w:r w:rsidRPr="00523E94">
              <w:t xml:space="preserve">of </w:t>
            </w:r>
            <w:r w:rsidRPr="00523E94">
              <w:t>certain personal property from garnishment, attachment, execution, or other seizure</w:t>
            </w:r>
            <w:r>
              <w:t xml:space="preserve"> applies as follows:</w:t>
            </w:r>
          </w:p>
          <w:p w14:paraId="60481881" w14:textId="773B1660" w:rsidR="00523E94" w:rsidRDefault="00D04D79" w:rsidP="00CE1ED3">
            <w:pPr>
              <w:pStyle w:val="Header"/>
              <w:numPr>
                <w:ilvl w:val="0"/>
                <w:numId w:val="1"/>
              </w:numPr>
              <w:tabs>
                <w:tab w:val="clear" w:pos="4320"/>
                <w:tab w:val="clear" w:pos="8640"/>
              </w:tabs>
              <w:jc w:val="both"/>
            </w:pPr>
            <w:r>
              <w:t>to</w:t>
            </w:r>
            <w:r w:rsidR="00D017C1">
              <w:t xml:space="preserve"> boats and motor vehicles used in a trade or profession </w:t>
            </w:r>
            <w:r w:rsidR="0081157A">
              <w:t>on</w:t>
            </w:r>
            <w:r w:rsidR="00D017C1">
              <w:t xml:space="preserve"> the condition that the boats or vehicles are </w:t>
            </w:r>
            <w:r w:rsidR="007E7477" w:rsidRPr="007E7477">
              <w:t>used by a member of a family or single adult in that person's trade or profession</w:t>
            </w:r>
            <w:r>
              <w:t>;</w:t>
            </w:r>
            <w:r w:rsidR="003F2090">
              <w:t xml:space="preserve"> and</w:t>
            </w:r>
          </w:p>
          <w:p w14:paraId="752530E8" w14:textId="315EC005" w:rsidR="003F2090" w:rsidRDefault="00D04D79" w:rsidP="00CE1ED3">
            <w:pPr>
              <w:pStyle w:val="Header"/>
              <w:numPr>
                <w:ilvl w:val="0"/>
                <w:numId w:val="1"/>
              </w:numPr>
              <w:tabs>
                <w:tab w:val="clear" w:pos="4320"/>
                <w:tab w:val="clear" w:pos="8640"/>
              </w:tabs>
              <w:jc w:val="both"/>
            </w:pPr>
            <w:r>
              <w:t>to a</w:t>
            </w:r>
            <w:r w:rsidR="001F50E8">
              <w:t xml:space="preserve"> two-wheeled, three-wheeled, or four-wheeled motor vehicle for each member of a family or single adult</w:t>
            </w:r>
            <w:r w:rsidR="00376647">
              <w:t xml:space="preserve">, provided the vehicle is not </w:t>
            </w:r>
            <w:r>
              <w:t>the following:</w:t>
            </w:r>
          </w:p>
          <w:p w14:paraId="1ADC81A3" w14:textId="4F735EFA" w:rsidR="00376647" w:rsidRDefault="00D04D79" w:rsidP="00CE1ED3">
            <w:pPr>
              <w:pStyle w:val="Header"/>
              <w:numPr>
                <w:ilvl w:val="1"/>
                <w:numId w:val="1"/>
              </w:numPr>
              <w:tabs>
                <w:tab w:val="clear" w:pos="4320"/>
                <w:tab w:val="clear" w:pos="8640"/>
              </w:tabs>
              <w:jc w:val="both"/>
            </w:pPr>
            <w:r>
              <w:t>an autocycle</w:t>
            </w:r>
            <w:r w:rsidR="0045114A">
              <w:t xml:space="preserve"> or a golf cart</w:t>
            </w:r>
            <w:r w:rsidR="003F2090">
              <w:t xml:space="preserve">; </w:t>
            </w:r>
          </w:p>
          <w:p w14:paraId="39CC25BC" w14:textId="180F764A" w:rsidR="00143D4A" w:rsidRDefault="00D04D79" w:rsidP="00CE1ED3">
            <w:pPr>
              <w:pStyle w:val="Header"/>
              <w:numPr>
                <w:ilvl w:val="1"/>
                <w:numId w:val="2"/>
              </w:numPr>
              <w:jc w:val="both"/>
            </w:pPr>
            <w:r>
              <w:t>a recreational off-highway vehicle</w:t>
            </w:r>
            <w:r>
              <w:t xml:space="preserve"> defined as a motor vehicle that is:</w:t>
            </w:r>
          </w:p>
          <w:p w14:paraId="2BF1198C" w14:textId="024DBA50" w:rsidR="00143D4A" w:rsidRDefault="00D04D79" w:rsidP="00CE1ED3">
            <w:pPr>
              <w:pStyle w:val="Header"/>
              <w:numPr>
                <w:ilvl w:val="2"/>
                <w:numId w:val="2"/>
              </w:numPr>
              <w:jc w:val="both"/>
            </w:pPr>
            <w:r>
              <w:t>equipped with a seat or seats for the use of the rider; and a passenger or passengers, if the vehicle is designed by the manufacturer to transport a passenger or passengers;</w:t>
            </w:r>
          </w:p>
          <w:p w14:paraId="1DB7A2BC" w14:textId="2D0E3848" w:rsidR="00143D4A" w:rsidRDefault="00D04D79" w:rsidP="00CE1ED3">
            <w:pPr>
              <w:pStyle w:val="Header"/>
              <w:numPr>
                <w:ilvl w:val="2"/>
                <w:numId w:val="2"/>
              </w:numPr>
              <w:jc w:val="both"/>
            </w:pPr>
            <w:r>
              <w:t>designed to propel itself with four or more t</w:t>
            </w:r>
            <w:r>
              <w:t>ires in contact with the ground;</w:t>
            </w:r>
          </w:p>
          <w:p w14:paraId="5A4BE6E0" w14:textId="77777777" w:rsidR="00143D4A" w:rsidRDefault="00D04D79" w:rsidP="00CE1ED3">
            <w:pPr>
              <w:pStyle w:val="Header"/>
              <w:numPr>
                <w:ilvl w:val="2"/>
                <w:numId w:val="2"/>
              </w:numPr>
              <w:jc w:val="both"/>
            </w:pPr>
            <w:r>
              <w:t>designed by the manufacturer for off-highway use by the operator only; and</w:t>
            </w:r>
          </w:p>
          <w:p w14:paraId="72555EC6" w14:textId="4C4E7C74" w:rsidR="003F2090" w:rsidRDefault="00D04D79" w:rsidP="00CE1ED3">
            <w:pPr>
              <w:pStyle w:val="Header"/>
              <w:numPr>
                <w:ilvl w:val="2"/>
                <w:numId w:val="2"/>
              </w:numPr>
              <w:jc w:val="both"/>
            </w:pPr>
            <w:r>
              <w:t>not designed by the manufacturer primarily for farming or lawn care</w:t>
            </w:r>
            <w:r w:rsidR="00376647">
              <w:t>; or</w:t>
            </w:r>
          </w:p>
          <w:p w14:paraId="7BE6EB1E" w14:textId="0B4242AD" w:rsidR="00945049" w:rsidRDefault="00D04D79" w:rsidP="00CE1ED3">
            <w:pPr>
              <w:pStyle w:val="Header"/>
              <w:numPr>
                <w:ilvl w:val="1"/>
                <w:numId w:val="1"/>
              </w:numPr>
              <w:tabs>
                <w:tab w:val="clear" w:pos="4320"/>
                <w:tab w:val="clear" w:pos="8640"/>
              </w:tabs>
              <w:jc w:val="both"/>
            </w:pPr>
            <w:r>
              <w:t>an assembled motor vehicle</w:t>
            </w:r>
            <w:r w:rsidR="0045114A">
              <w:t xml:space="preserve">, defined as a </w:t>
            </w:r>
            <w:r w:rsidR="0045114A" w:rsidRPr="0045114A">
              <w:t>any motor driven or propelled vehicle required to be registered under the laws of</w:t>
            </w:r>
            <w:r w:rsidR="0045114A">
              <w:t xml:space="preserve"> Texas, </w:t>
            </w:r>
            <w:r w:rsidR="00AB6EF1">
              <w:t>which</w:t>
            </w:r>
            <w:r w:rsidR="0045114A">
              <w:t xml:space="preserve"> has a motor, body, and frame and is built or assembled by a hobbyist</w:t>
            </w:r>
            <w:r w:rsidR="001F50E8">
              <w:t xml:space="preserve">. </w:t>
            </w:r>
          </w:p>
          <w:p w14:paraId="321F5F94" w14:textId="77777777" w:rsidR="0045114A" w:rsidRPr="0045114A" w:rsidRDefault="0045114A" w:rsidP="00CE1ED3">
            <w:pPr>
              <w:pStyle w:val="Header"/>
              <w:tabs>
                <w:tab w:val="clear" w:pos="4320"/>
                <w:tab w:val="clear" w:pos="8640"/>
              </w:tabs>
              <w:jc w:val="both"/>
            </w:pPr>
          </w:p>
          <w:p w14:paraId="61838710" w14:textId="7D984D73" w:rsidR="009C36CD" w:rsidRDefault="00D04D79" w:rsidP="00CE1ED3">
            <w:pPr>
              <w:pStyle w:val="Header"/>
              <w:tabs>
                <w:tab w:val="clear" w:pos="4320"/>
                <w:tab w:val="clear" w:pos="8640"/>
              </w:tabs>
              <w:jc w:val="both"/>
            </w:pPr>
            <w:r>
              <w:t>C.S.</w:t>
            </w:r>
            <w:r w:rsidR="006B7635">
              <w:t>H.B. 3170</w:t>
            </w:r>
            <w:r w:rsidR="00EE4974">
              <w:t xml:space="preserve"> does not apply to property that is, as of the bill's effective date, subject to a voluntary </w:t>
            </w:r>
            <w:r w:rsidR="00EE4974" w:rsidRPr="00EE4974">
              <w:t>bankruptcy proceeding or to a valid claim of a holder of a final judgment who has, by levy, garnishment, or other legal process, obtained rights superior to those that would otherwise be held by a trustee in bankruptcy if a bankruptcy petition were then pending against the debtor.</w:t>
            </w:r>
          </w:p>
          <w:p w14:paraId="0DE1525F" w14:textId="77777777" w:rsidR="008423E4" w:rsidRPr="00835628" w:rsidRDefault="008423E4" w:rsidP="00CE1ED3">
            <w:pPr>
              <w:rPr>
                <w:b/>
              </w:rPr>
            </w:pPr>
          </w:p>
        </w:tc>
      </w:tr>
      <w:tr w:rsidR="0087300C" w14:paraId="75975276" w14:textId="77777777" w:rsidTr="00345119">
        <w:tc>
          <w:tcPr>
            <w:tcW w:w="9576" w:type="dxa"/>
          </w:tcPr>
          <w:p w14:paraId="63C30FBB" w14:textId="77777777" w:rsidR="008423E4" w:rsidRPr="00A8133F" w:rsidRDefault="00D04D79" w:rsidP="00CE1ED3">
            <w:pPr>
              <w:rPr>
                <w:b/>
              </w:rPr>
            </w:pPr>
            <w:r w:rsidRPr="009C1E9A">
              <w:rPr>
                <w:b/>
                <w:u w:val="single"/>
              </w:rPr>
              <w:t>EFFECTIVE DATE</w:t>
            </w:r>
            <w:r>
              <w:rPr>
                <w:b/>
              </w:rPr>
              <w:t xml:space="preserve"> </w:t>
            </w:r>
          </w:p>
          <w:p w14:paraId="4D3F6DBF" w14:textId="77777777" w:rsidR="008423E4" w:rsidRDefault="008423E4" w:rsidP="00CE1ED3"/>
          <w:p w14:paraId="1562190C" w14:textId="28DB377C" w:rsidR="008423E4" w:rsidRPr="003624F2" w:rsidRDefault="00D04D79" w:rsidP="00CE1ED3">
            <w:pPr>
              <w:pStyle w:val="Header"/>
              <w:tabs>
                <w:tab w:val="clear" w:pos="4320"/>
                <w:tab w:val="clear" w:pos="8640"/>
              </w:tabs>
              <w:jc w:val="both"/>
            </w:pPr>
            <w:r>
              <w:t>September 1, 2023.</w:t>
            </w:r>
          </w:p>
          <w:p w14:paraId="6F67A0F9" w14:textId="77777777" w:rsidR="008423E4" w:rsidRPr="00233FDB" w:rsidRDefault="008423E4" w:rsidP="00CE1ED3">
            <w:pPr>
              <w:rPr>
                <w:b/>
              </w:rPr>
            </w:pPr>
          </w:p>
        </w:tc>
      </w:tr>
      <w:tr w:rsidR="0087300C" w14:paraId="0DD0A5D5" w14:textId="77777777" w:rsidTr="00345119">
        <w:tc>
          <w:tcPr>
            <w:tcW w:w="9576" w:type="dxa"/>
          </w:tcPr>
          <w:p w14:paraId="0C7F0B4F" w14:textId="77777777" w:rsidR="00B86A04" w:rsidRDefault="00D04D79" w:rsidP="00CE1ED3">
            <w:pPr>
              <w:jc w:val="both"/>
              <w:rPr>
                <w:b/>
                <w:u w:val="single"/>
              </w:rPr>
            </w:pPr>
            <w:r>
              <w:rPr>
                <w:b/>
                <w:u w:val="single"/>
              </w:rPr>
              <w:t>COMPARISON OF INTRODUCED AND SUBSTITUTE</w:t>
            </w:r>
          </w:p>
          <w:p w14:paraId="78B759B7" w14:textId="77777777" w:rsidR="00AB6EF1" w:rsidRDefault="00AB6EF1" w:rsidP="00CE1ED3">
            <w:pPr>
              <w:jc w:val="both"/>
            </w:pPr>
          </w:p>
          <w:p w14:paraId="0212A493" w14:textId="0D6DFCD0" w:rsidR="00AB6EF1" w:rsidRDefault="00D04D79" w:rsidP="00CE1ED3">
            <w:pPr>
              <w:jc w:val="both"/>
            </w:pPr>
            <w:r>
              <w:t xml:space="preserve">While C.S.H.B. 3170 may differ from the introduced in minor or nonsubstantive ways, the following summarizes the substantial differences between the </w:t>
            </w:r>
            <w:r>
              <w:t>introduced and committee substitute versions of the bill.</w:t>
            </w:r>
          </w:p>
          <w:p w14:paraId="4F885EE6" w14:textId="6D24E348" w:rsidR="00AB6EF1" w:rsidRDefault="00AB6EF1" w:rsidP="00CE1ED3">
            <w:pPr>
              <w:jc w:val="both"/>
            </w:pPr>
          </w:p>
          <w:p w14:paraId="74E76B9F" w14:textId="08048BCB" w:rsidR="007A6426" w:rsidRDefault="00D04D79" w:rsidP="00CE1ED3">
            <w:pPr>
              <w:jc w:val="both"/>
            </w:pPr>
            <w:r>
              <w:t xml:space="preserve">Both the introduced and the </w:t>
            </w:r>
            <w:r w:rsidR="00AB6EF1">
              <w:t xml:space="preserve">substitute </w:t>
            </w:r>
            <w:r w:rsidRPr="006B22BA">
              <w:t xml:space="preserve">specify that the exemption of </w:t>
            </w:r>
            <w:r w:rsidR="003431B2">
              <w:t xml:space="preserve">certain </w:t>
            </w:r>
            <w:r w:rsidR="003431B2" w:rsidRPr="00523E94">
              <w:t>personal property from garnishment, attachment, execution, or other seizure</w:t>
            </w:r>
            <w:r>
              <w:t xml:space="preserve"> applies to certain </w:t>
            </w:r>
            <w:r w:rsidR="00591875">
              <w:t>vehicle</w:t>
            </w:r>
            <w:r>
              <w:t>s that are not gol</w:t>
            </w:r>
            <w:r>
              <w:t xml:space="preserve">f carts or autocycles. </w:t>
            </w:r>
            <w:r w:rsidR="002666F9">
              <w:t>W</w:t>
            </w:r>
            <w:r>
              <w:t>hile the introduced included in the prerequisites for exemption that the vehicle</w:t>
            </w:r>
            <w:r w:rsidR="00591875">
              <w:t xml:space="preserve"> may be legally operated on a public highway of Texas</w:t>
            </w:r>
            <w:r>
              <w:t xml:space="preserve"> and</w:t>
            </w:r>
            <w:r w:rsidR="00591875">
              <w:t xml:space="preserve"> registered as required by state law and that financial responsibility </w:t>
            </w:r>
            <w:r w:rsidR="0091219E">
              <w:t xml:space="preserve">be </w:t>
            </w:r>
            <w:r w:rsidR="00591875">
              <w:t>established for the vehicle as required by the Motor Vehicle Safety Responsibility Act</w:t>
            </w:r>
            <w:r>
              <w:t xml:space="preserve">, the substitute </w:t>
            </w:r>
            <w:r w:rsidR="002666F9">
              <w:t>does not include these</w:t>
            </w:r>
            <w:r w:rsidR="009A0542">
              <w:t xml:space="preserve"> as</w:t>
            </w:r>
            <w:r w:rsidR="002666F9">
              <w:t xml:space="preserve"> prerequisites</w:t>
            </w:r>
            <w:r w:rsidR="009A0542">
              <w:t xml:space="preserve"> for the exemption. Instead, the </w:t>
            </w:r>
            <w:r w:rsidR="00591875">
              <w:t xml:space="preserve">substitute </w:t>
            </w:r>
            <w:r>
              <w:t xml:space="preserve">includes </w:t>
            </w:r>
            <w:r w:rsidR="009A0542">
              <w:t>as prerequisites that the vehicle</w:t>
            </w:r>
            <w:r w:rsidR="00392685">
              <w:t>,</w:t>
            </w:r>
            <w:r w:rsidR="009A0542">
              <w:t xml:space="preserve"> other than not being an autocycle or golf cart, </w:t>
            </w:r>
            <w:r w:rsidR="00392685">
              <w:t xml:space="preserve">also </w:t>
            </w:r>
            <w:r w:rsidR="009A0542">
              <w:t xml:space="preserve">not be </w:t>
            </w:r>
            <w:r>
              <w:t xml:space="preserve">a recreational off-highway vehicle </w:t>
            </w:r>
            <w:r w:rsidR="009A0542">
              <w:t xml:space="preserve">or </w:t>
            </w:r>
            <w:r>
              <w:t>an assembled motor vehicle</w:t>
            </w:r>
            <w:r w:rsidR="009A0542">
              <w:t xml:space="preserve">. </w:t>
            </w:r>
          </w:p>
          <w:p w14:paraId="479A8442" w14:textId="20403C39" w:rsidR="00AB6EF1" w:rsidRPr="00AB6EF1" w:rsidRDefault="00AB6EF1" w:rsidP="00CE1ED3">
            <w:pPr>
              <w:jc w:val="both"/>
            </w:pPr>
          </w:p>
        </w:tc>
      </w:tr>
      <w:tr w:rsidR="0087300C" w14:paraId="71BCDC3D" w14:textId="77777777" w:rsidTr="00345119">
        <w:tc>
          <w:tcPr>
            <w:tcW w:w="9576" w:type="dxa"/>
          </w:tcPr>
          <w:p w14:paraId="15E44878" w14:textId="77777777" w:rsidR="00B86A04" w:rsidRPr="009C1E9A" w:rsidRDefault="00B86A04" w:rsidP="00CE1ED3">
            <w:pPr>
              <w:rPr>
                <w:b/>
                <w:u w:val="single"/>
              </w:rPr>
            </w:pPr>
          </w:p>
        </w:tc>
      </w:tr>
      <w:tr w:rsidR="0087300C" w14:paraId="164DFCE4" w14:textId="77777777" w:rsidTr="00345119">
        <w:tc>
          <w:tcPr>
            <w:tcW w:w="9576" w:type="dxa"/>
          </w:tcPr>
          <w:p w14:paraId="174A3E8A" w14:textId="77777777" w:rsidR="00B86A04" w:rsidRPr="00B86A04" w:rsidRDefault="00B86A04" w:rsidP="00CE1ED3">
            <w:pPr>
              <w:jc w:val="both"/>
            </w:pPr>
          </w:p>
        </w:tc>
      </w:tr>
    </w:tbl>
    <w:p w14:paraId="4943692F" w14:textId="77777777" w:rsidR="008423E4" w:rsidRPr="00BE0E75" w:rsidRDefault="008423E4" w:rsidP="00CE1ED3">
      <w:pPr>
        <w:jc w:val="both"/>
        <w:rPr>
          <w:rFonts w:ascii="Arial" w:hAnsi="Arial"/>
          <w:sz w:val="16"/>
          <w:szCs w:val="16"/>
        </w:rPr>
      </w:pPr>
    </w:p>
    <w:p w14:paraId="3A2714B4" w14:textId="77777777" w:rsidR="004108C3" w:rsidRPr="008423E4" w:rsidRDefault="004108C3" w:rsidP="00CE1ED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0173" w14:textId="77777777" w:rsidR="00000000" w:rsidRDefault="00D04D79">
      <w:r>
        <w:separator/>
      </w:r>
    </w:p>
  </w:endnote>
  <w:endnote w:type="continuationSeparator" w:id="0">
    <w:p w14:paraId="2931AD9C" w14:textId="77777777" w:rsidR="00000000" w:rsidRDefault="00D0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248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7300C" w14:paraId="0A5C7CE9" w14:textId="77777777" w:rsidTr="009C1E9A">
      <w:trPr>
        <w:cantSplit/>
      </w:trPr>
      <w:tc>
        <w:tcPr>
          <w:tcW w:w="0" w:type="pct"/>
        </w:tcPr>
        <w:p w14:paraId="35A1A3E2" w14:textId="77777777" w:rsidR="00137D90" w:rsidRDefault="00137D90" w:rsidP="009C1E9A">
          <w:pPr>
            <w:pStyle w:val="Footer"/>
            <w:tabs>
              <w:tab w:val="clear" w:pos="8640"/>
              <w:tab w:val="right" w:pos="9360"/>
            </w:tabs>
          </w:pPr>
        </w:p>
      </w:tc>
      <w:tc>
        <w:tcPr>
          <w:tcW w:w="2395" w:type="pct"/>
        </w:tcPr>
        <w:p w14:paraId="1518DE3C" w14:textId="77777777" w:rsidR="00137D90" w:rsidRDefault="00137D90" w:rsidP="009C1E9A">
          <w:pPr>
            <w:pStyle w:val="Footer"/>
            <w:tabs>
              <w:tab w:val="clear" w:pos="8640"/>
              <w:tab w:val="right" w:pos="9360"/>
            </w:tabs>
          </w:pPr>
        </w:p>
        <w:p w14:paraId="7612620F" w14:textId="77777777" w:rsidR="001A4310" w:rsidRDefault="001A4310" w:rsidP="009C1E9A">
          <w:pPr>
            <w:pStyle w:val="Footer"/>
            <w:tabs>
              <w:tab w:val="clear" w:pos="8640"/>
              <w:tab w:val="right" w:pos="9360"/>
            </w:tabs>
          </w:pPr>
        </w:p>
        <w:p w14:paraId="3A48D77B" w14:textId="77777777" w:rsidR="00137D90" w:rsidRDefault="00137D90" w:rsidP="009C1E9A">
          <w:pPr>
            <w:pStyle w:val="Footer"/>
            <w:tabs>
              <w:tab w:val="clear" w:pos="8640"/>
              <w:tab w:val="right" w:pos="9360"/>
            </w:tabs>
          </w:pPr>
        </w:p>
      </w:tc>
      <w:tc>
        <w:tcPr>
          <w:tcW w:w="2453" w:type="pct"/>
        </w:tcPr>
        <w:p w14:paraId="177F513E" w14:textId="77777777" w:rsidR="00137D90" w:rsidRDefault="00137D90" w:rsidP="009C1E9A">
          <w:pPr>
            <w:pStyle w:val="Footer"/>
            <w:tabs>
              <w:tab w:val="clear" w:pos="8640"/>
              <w:tab w:val="right" w:pos="9360"/>
            </w:tabs>
            <w:jc w:val="right"/>
          </w:pPr>
        </w:p>
      </w:tc>
    </w:tr>
    <w:tr w:rsidR="0087300C" w14:paraId="54FDBAF6" w14:textId="77777777" w:rsidTr="009C1E9A">
      <w:trPr>
        <w:cantSplit/>
      </w:trPr>
      <w:tc>
        <w:tcPr>
          <w:tcW w:w="0" w:type="pct"/>
        </w:tcPr>
        <w:p w14:paraId="1930B1C4" w14:textId="77777777" w:rsidR="00EC379B" w:rsidRDefault="00EC379B" w:rsidP="009C1E9A">
          <w:pPr>
            <w:pStyle w:val="Footer"/>
            <w:tabs>
              <w:tab w:val="clear" w:pos="8640"/>
              <w:tab w:val="right" w:pos="9360"/>
            </w:tabs>
          </w:pPr>
        </w:p>
      </w:tc>
      <w:tc>
        <w:tcPr>
          <w:tcW w:w="2395" w:type="pct"/>
        </w:tcPr>
        <w:p w14:paraId="7C206BBD" w14:textId="5792C809" w:rsidR="00EC379B" w:rsidRPr="009C1E9A" w:rsidRDefault="00D04D79" w:rsidP="009C1E9A">
          <w:pPr>
            <w:pStyle w:val="Footer"/>
            <w:tabs>
              <w:tab w:val="clear" w:pos="8640"/>
              <w:tab w:val="right" w:pos="9360"/>
            </w:tabs>
            <w:rPr>
              <w:rFonts w:ascii="Shruti" w:hAnsi="Shruti"/>
              <w:sz w:val="22"/>
            </w:rPr>
          </w:pPr>
          <w:r>
            <w:rPr>
              <w:rFonts w:ascii="Shruti" w:hAnsi="Shruti"/>
              <w:sz w:val="22"/>
            </w:rPr>
            <w:t>88R 28328-D</w:t>
          </w:r>
        </w:p>
      </w:tc>
      <w:tc>
        <w:tcPr>
          <w:tcW w:w="2453" w:type="pct"/>
        </w:tcPr>
        <w:p w14:paraId="02D23311" w14:textId="31738CEA" w:rsidR="00EC379B" w:rsidRDefault="00D04D79" w:rsidP="009C1E9A">
          <w:pPr>
            <w:pStyle w:val="Footer"/>
            <w:tabs>
              <w:tab w:val="clear" w:pos="8640"/>
              <w:tab w:val="right" w:pos="9360"/>
            </w:tabs>
            <w:jc w:val="right"/>
          </w:pPr>
          <w:r>
            <w:fldChar w:fldCharType="begin"/>
          </w:r>
          <w:r>
            <w:instrText xml:space="preserve"> DOCPROPERTY  OTID  \* MERGEFORMAT </w:instrText>
          </w:r>
          <w:r>
            <w:fldChar w:fldCharType="separate"/>
          </w:r>
          <w:r w:rsidR="006C7003">
            <w:t>23.125.1767</w:t>
          </w:r>
          <w:r>
            <w:fldChar w:fldCharType="end"/>
          </w:r>
        </w:p>
      </w:tc>
    </w:tr>
    <w:tr w:rsidR="0087300C" w14:paraId="2CE4EA75" w14:textId="77777777" w:rsidTr="009C1E9A">
      <w:trPr>
        <w:cantSplit/>
      </w:trPr>
      <w:tc>
        <w:tcPr>
          <w:tcW w:w="0" w:type="pct"/>
        </w:tcPr>
        <w:p w14:paraId="24FA5A85" w14:textId="77777777" w:rsidR="00EC379B" w:rsidRDefault="00EC379B" w:rsidP="009C1E9A">
          <w:pPr>
            <w:pStyle w:val="Footer"/>
            <w:tabs>
              <w:tab w:val="clear" w:pos="4320"/>
              <w:tab w:val="clear" w:pos="8640"/>
              <w:tab w:val="left" w:pos="2865"/>
            </w:tabs>
          </w:pPr>
        </w:p>
      </w:tc>
      <w:tc>
        <w:tcPr>
          <w:tcW w:w="2395" w:type="pct"/>
        </w:tcPr>
        <w:p w14:paraId="336F610E" w14:textId="15862B15" w:rsidR="00EC379B" w:rsidRPr="009C1E9A" w:rsidRDefault="00D04D79" w:rsidP="009C1E9A">
          <w:pPr>
            <w:pStyle w:val="Footer"/>
            <w:tabs>
              <w:tab w:val="clear" w:pos="4320"/>
              <w:tab w:val="clear" w:pos="8640"/>
              <w:tab w:val="left" w:pos="2865"/>
            </w:tabs>
            <w:rPr>
              <w:rFonts w:ascii="Shruti" w:hAnsi="Shruti"/>
              <w:sz w:val="22"/>
            </w:rPr>
          </w:pPr>
          <w:r>
            <w:rPr>
              <w:rFonts w:ascii="Shruti" w:hAnsi="Shruti"/>
              <w:sz w:val="22"/>
            </w:rPr>
            <w:t>Substitute Document Number: 88R 26356</w:t>
          </w:r>
        </w:p>
      </w:tc>
      <w:tc>
        <w:tcPr>
          <w:tcW w:w="2453" w:type="pct"/>
        </w:tcPr>
        <w:p w14:paraId="52EB2D87" w14:textId="77777777" w:rsidR="00EC379B" w:rsidRDefault="00EC379B" w:rsidP="006D504F">
          <w:pPr>
            <w:pStyle w:val="Footer"/>
            <w:rPr>
              <w:rStyle w:val="PageNumber"/>
            </w:rPr>
          </w:pPr>
        </w:p>
        <w:p w14:paraId="233E6CE9" w14:textId="77777777" w:rsidR="00EC379B" w:rsidRDefault="00EC379B" w:rsidP="009C1E9A">
          <w:pPr>
            <w:pStyle w:val="Footer"/>
            <w:tabs>
              <w:tab w:val="clear" w:pos="8640"/>
              <w:tab w:val="right" w:pos="9360"/>
            </w:tabs>
            <w:jc w:val="right"/>
          </w:pPr>
        </w:p>
      </w:tc>
    </w:tr>
    <w:tr w:rsidR="0087300C" w14:paraId="0B97026A" w14:textId="77777777" w:rsidTr="009C1E9A">
      <w:trPr>
        <w:cantSplit/>
        <w:trHeight w:val="323"/>
      </w:trPr>
      <w:tc>
        <w:tcPr>
          <w:tcW w:w="0" w:type="pct"/>
          <w:gridSpan w:val="3"/>
        </w:tcPr>
        <w:p w14:paraId="65034CBD" w14:textId="77777777" w:rsidR="00EC379B" w:rsidRDefault="00D04D7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A3DE61" w14:textId="77777777" w:rsidR="00EC379B" w:rsidRDefault="00EC379B" w:rsidP="009C1E9A">
          <w:pPr>
            <w:pStyle w:val="Footer"/>
            <w:tabs>
              <w:tab w:val="clear" w:pos="8640"/>
              <w:tab w:val="right" w:pos="9360"/>
            </w:tabs>
            <w:jc w:val="center"/>
          </w:pPr>
        </w:p>
      </w:tc>
    </w:tr>
  </w:tbl>
  <w:p w14:paraId="3B44417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C9D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2973" w14:textId="77777777" w:rsidR="00000000" w:rsidRDefault="00D04D79">
      <w:r>
        <w:separator/>
      </w:r>
    </w:p>
  </w:footnote>
  <w:footnote w:type="continuationSeparator" w:id="0">
    <w:p w14:paraId="4AC8DA79" w14:textId="77777777" w:rsidR="00000000" w:rsidRDefault="00D0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377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EDF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26F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4ED"/>
    <w:multiLevelType w:val="hybridMultilevel"/>
    <w:tmpl w:val="449C6358"/>
    <w:lvl w:ilvl="0" w:tplc="2DB6127A">
      <w:start w:val="1"/>
      <w:numFmt w:val="bullet"/>
      <w:lvlText w:val=""/>
      <w:lvlJc w:val="left"/>
      <w:pPr>
        <w:tabs>
          <w:tab w:val="num" w:pos="720"/>
        </w:tabs>
        <w:ind w:left="720" w:hanging="360"/>
      </w:pPr>
      <w:rPr>
        <w:rFonts w:ascii="Symbol" w:hAnsi="Symbol" w:hint="default"/>
      </w:rPr>
    </w:lvl>
    <w:lvl w:ilvl="1" w:tplc="2782F036">
      <w:start w:val="1"/>
      <w:numFmt w:val="bullet"/>
      <w:lvlText w:val="o"/>
      <w:lvlJc w:val="left"/>
      <w:pPr>
        <w:ind w:left="1440" w:hanging="360"/>
      </w:pPr>
      <w:rPr>
        <w:rFonts w:ascii="Courier New" w:hAnsi="Courier New" w:cs="Courier New" w:hint="default"/>
      </w:rPr>
    </w:lvl>
    <w:lvl w:ilvl="2" w:tplc="EB6E6658">
      <w:start w:val="1"/>
      <w:numFmt w:val="bullet"/>
      <w:lvlText w:val=""/>
      <w:lvlJc w:val="left"/>
      <w:pPr>
        <w:ind w:left="2160" w:hanging="360"/>
      </w:pPr>
      <w:rPr>
        <w:rFonts w:ascii="Wingdings" w:hAnsi="Wingdings" w:hint="default"/>
      </w:rPr>
    </w:lvl>
    <w:lvl w:ilvl="3" w:tplc="D736E8AC" w:tentative="1">
      <w:start w:val="1"/>
      <w:numFmt w:val="bullet"/>
      <w:lvlText w:val=""/>
      <w:lvlJc w:val="left"/>
      <w:pPr>
        <w:ind w:left="2880" w:hanging="360"/>
      </w:pPr>
      <w:rPr>
        <w:rFonts w:ascii="Symbol" w:hAnsi="Symbol" w:hint="default"/>
      </w:rPr>
    </w:lvl>
    <w:lvl w:ilvl="4" w:tplc="BFA0D5DE" w:tentative="1">
      <w:start w:val="1"/>
      <w:numFmt w:val="bullet"/>
      <w:lvlText w:val="o"/>
      <w:lvlJc w:val="left"/>
      <w:pPr>
        <w:ind w:left="3600" w:hanging="360"/>
      </w:pPr>
      <w:rPr>
        <w:rFonts w:ascii="Courier New" w:hAnsi="Courier New" w:cs="Courier New" w:hint="default"/>
      </w:rPr>
    </w:lvl>
    <w:lvl w:ilvl="5" w:tplc="21DAF4FC" w:tentative="1">
      <w:start w:val="1"/>
      <w:numFmt w:val="bullet"/>
      <w:lvlText w:val=""/>
      <w:lvlJc w:val="left"/>
      <w:pPr>
        <w:ind w:left="4320" w:hanging="360"/>
      </w:pPr>
      <w:rPr>
        <w:rFonts w:ascii="Wingdings" w:hAnsi="Wingdings" w:hint="default"/>
      </w:rPr>
    </w:lvl>
    <w:lvl w:ilvl="6" w:tplc="06E84B42" w:tentative="1">
      <w:start w:val="1"/>
      <w:numFmt w:val="bullet"/>
      <w:lvlText w:val=""/>
      <w:lvlJc w:val="left"/>
      <w:pPr>
        <w:ind w:left="5040" w:hanging="360"/>
      </w:pPr>
      <w:rPr>
        <w:rFonts w:ascii="Symbol" w:hAnsi="Symbol" w:hint="default"/>
      </w:rPr>
    </w:lvl>
    <w:lvl w:ilvl="7" w:tplc="8890683C" w:tentative="1">
      <w:start w:val="1"/>
      <w:numFmt w:val="bullet"/>
      <w:lvlText w:val="o"/>
      <w:lvlJc w:val="left"/>
      <w:pPr>
        <w:ind w:left="5760" w:hanging="360"/>
      </w:pPr>
      <w:rPr>
        <w:rFonts w:ascii="Courier New" w:hAnsi="Courier New" w:cs="Courier New" w:hint="default"/>
      </w:rPr>
    </w:lvl>
    <w:lvl w:ilvl="8" w:tplc="1CB46E24" w:tentative="1">
      <w:start w:val="1"/>
      <w:numFmt w:val="bullet"/>
      <w:lvlText w:val=""/>
      <w:lvlJc w:val="left"/>
      <w:pPr>
        <w:ind w:left="6480" w:hanging="360"/>
      </w:pPr>
      <w:rPr>
        <w:rFonts w:ascii="Wingdings" w:hAnsi="Wingdings" w:hint="default"/>
      </w:rPr>
    </w:lvl>
  </w:abstractNum>
  <w:abstractNum w:abstractNumId="1" w15:restartNumberingAfterBreak="0">
    <w:nsid w:val="515615D1"/>
    <w:multiLevelType w:val="hybridMultilevel"/>
    <w:tmpl w:val="2ABCB99C"/>
    <w:lvl w:ilvl="0" w:tplc="03F4EB8E">
      <w:start w:val="1"/>
      <w:numFmt w:val="bullet"/>
      <w:lvlText w:val=""/>
      <w:lvlJc w:val="left"/>
      <w:pPr>
        <w:tabs>
          <w:tab w:val="num" w:pos="720"/>
        </w:tabs>
        <w:ind w:left="720" w:hanging="360"/>
      </w:pPr>
      <w:rPr>
        <w:rFonts w:ascii="Symbol" w:hAnsi="Symbol" w:hint="default"/>
      </w:rPr>
    </w:lvl>
    <w:lvl w:ilvl="1" w:tplc="5268D1B6">
      <w:start w:val="1"/>
      <w:numFmt w:val="bullet"/>
      <w:lvlText w:val="o"/>
      <w:lvlJc w:val="left"/>
      <w:pPr>
        <w:ind w:left="1440" w:hanging="360"/>
      </w:pPr>
      <w:rPr>
        <w:rFonts w:ascii="Courier New" w:hAnsi="Courier New" w:cs="Courier New" w:hint="default"/>
      </w:rPr>
    </w:lvl>
    <w:lvl w:ilvl="2" w:tplc="E0D84142" w:tentative="1">
      <w:start w:val="1"/>
      <w:numFmt w:val="bullet"/>
      <w:lvlText w:val=""/>
      <w:lvlJc w:val="left"/>
      <w:pPr>
        <w:ind w:left="2160" w:hanging="360"/>
      </w:pPr>
      <w:rPr>
        <w:rFonts w:ascii="Wingdings" w:hAnsi="Wingdings" w:hint="default"/>
      </w:rPr>
    </w:lvl>
    <w:lvl w:ilvl="3" w:tplc="F62A44EC" w:tentative="1">
      <w:start w:val="1"/>
      <w:numFmt w:val="bullet"/>
      <w:lvlText w:val=""/>
      <w:lvlJc w:val="left"/>
      <w:pPr>
        <w:ind w:left="2880" w:hanging="360"/>
      </w:pPr>
      <w:rPr>
        <w:rFonts w:ascii="Symbol" w:hAnsi="Symbol" w:hint="default"/>
      </w:rPr>
    </w:lvl>
    <w:lvl w:ilvl="4" w:tplc="8E1AE8AC" w:tentative="1">
      <w:start w:val="1"/>
      <w:numFmt w:val="bullet"/>
      <w:lvlText w:val="o"/>
      <w:lvlJc w:val="left"/>
      <w:pPr>
        <w:ind w:left="3600" w:hanging="360"/>
      </w:pPr>
      <w:rPr>
        <w:rFonts w:ascii="Courier New" w:hAnsi="Courier New" w:cs="Courier New" w:hint="default"/>
      </w:rPr>
    </w:lvl>
    <w:lvl w:ilvl="5" w:tplc="A614CA12" w:tentative="1">
      <w:start w:val="1"/>
      <w:numFmt w:val="bullet"/>
      <w:lvlText w:val=""/>
      <w:lvlJc w:val="left"/>
      <w:pPr>
        <w:ind w:left="4320" w:hanging="360"/>
      </w:pPr>
      <w:rPr>
        <w:rFonts w:ascii="Wingdings" w:hAnsi="Wingdings" w:hint="default"/>
      </w:rPr>
    </w:lvl>
    <w:lvl w:ilvl="6" w:tplc="C39E24A8" w:tentative="1">
      <w:start w:val="1"/>
      <w:numFmt w:val="bullet"/>
      <w:lvlText w:val=""/>
      <w:lvlJc w:val="left"/>
      <w:pPr>
        <w:ind w:left="5040" w:hanging="360"/>
      </w:pPr>
      <w:rPr>
        <w:rFonts w:ascii="Symbol" w:hAnsi="Symbol" w:hint="default"/>
      </w:rPr>
    </w:lvl>
    <w:lvl w:ilvl="7" w:tplc="A244A5EC" w:tentative="1">
      <w:start w:val="1"/>
      <w:numFmt w:val="bullet"/>
      <w:lvlText w:val="o"/>
      <w:lvlJc w:val="left"/>
      <w:pPr>
        <w:ind w:left="5760" w:hanging="360"/>
      </w:pPr>
      <w:rPr>
        <w:rFonts w:ascii="Courier New" w:hAnsi="Courier New" w:cs="Courier New" w:hint="default"/>
      </w:rPr>
    </w:lvl>
    <w:lvl w:ilvl="8" w:tplc="E43094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7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03"/>
    <w:rsid w:val="0003572D"/>
    <w:rsid w:val="00035DB0"/>
    <w:rsid w:val="00037088"/>
    <w:rsid w:val="000400D5"/>
    <w:rsid w:val="00043858"/>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4BB"/>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3D4A"/>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0E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7C37"/>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6F9"/>
    <w:rsid w:val="00267841"/>
    <w:rsid w:val="00267E88"/>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B45"/>
    <w:rsid w:val="002D05CC"/>
    <w:rsid w:val="002D305A"/>
    <w:rsid w:val="002E21B8"/>
    <w:rsid w:val="002E21C1"/>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1B2"/>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647"/>
    <w:rsid w:val="00377E3D"/>
    <w:rsid w:val="003847E8"/>
    <w:rsid w:val="0038731D"/>
    <w:rsid w:val="00387B60"/>
    <w:rsid w:val="00390098"/>
    <w:rsid w:val="00392685"/>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090"/>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14A"/>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E94"/>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1875"/>
    <w:rsid w:val="00592C7B"/>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6CF"/>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2BA"/>
    <w:rsid w:val="006B233E"/>
    <w:rsid w:val="006B23D8"/>
    <w:rsid w:val="006B28D5"/>
    <w:rsid w:val="006B2A01"/>
    <w:rsid w:val="006B2B8C"/>
    <w:rsid w:val="006B2DEB"/>
    <w:rsid w:val="006B54C5"/>
    <w:rsid w:val="006B5E80"/>
    <w:rsid w:val="006B7635"/>
    <w:rsid w:val="006B7A2E"/>
    <w:rsid w:val="006C4709"/>
    <w:rsid w:val="006C7003"/>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7D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426"/>
    <w:rsid w:val="007A7EC1"/>
    <w:rsid w:val="007B4FCA"/>
    <w:rsid w:val="007B7B85"/>
    <w:rsid w:val="007C462E"/>
    <w:rsid w:val="007C496B"/>
    <w:rsid w:val="007C6803"/>
    <w:rsid w:val="007D2892"/>
    <w:rsid w:val="007D2DCC"/>
    <w:rsid w:val="007D47E1"/>
    <w:rsid w:val="007D7FCB"/>
    <w:rsid w:val="007E33B6"/>
    <w:rsid w:val="007E59E8"/>
    <w:rsid w:val="007E7477"/>
    <w:rsid w:val="007F3861"/>
    <w:rsid w:val="007F4162"/>
    <w:rsid w:val="007F5441"/>
    <w:rsid w:val="007F7668"/>
    <w:rsid w:val="00800C63"/>
    <w:rsid w:val="00802243"/>
    <w:rsid w:val="008023D4"/>
    <w:rsid w:val="00804124"/>
    <w:rsid w:val="00805402"/>
    <w:rsid w:val="0080765F"/>
    <w:rsid w:val="0081157A"/>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00C"/>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17F"/>
    <w:rsid w:val="008B05D8"/>
    <w:rsid w:val="008B0B3D"/>
    <w:rsid w:val="008B2B1A"/>
    <w:rsid w:val="008B3243"/>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19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049"/>
    <w:rsid w:val="00946044"/>
    <w:rsid w:val="0094653B"/>
    <w:rsid w:val="009465AB"/>
    <w:rsid w:val="00946DEE"/>
    <w:rsid w:val="00953499"/>
    <w:rsid w:val="00954A16"/>
    <w:rsid w:val="0095696D"/>
    <w:rsid w:val="00960F2D"/>
    <w:rsid w:val="00964590"/>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542"/>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174"/>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056"/>
    <w:rsid w:val="00AA597A"/>
    <w:rsid w:val="00AA66AD"/>
    <w:rsid w:val="00AA67A3"/>
    <w:rsid w:val="00AA7E52"/>
    <w:rsid w:val="00AB1655"/>
    <w:rsid w:val="00AB1873"/>
    <w:rsid w:val="00AB2C05"/>
    <w:rsid w:val="00AB3536"/>
    <w:rsid w:val="00AB474B"/>
    <w:rsid w:val="00AB5CCC"/>
    <w:rsid w:val="00AB6EF1"/>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A0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965"/>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8F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ED3"/>
    <w:rsid w:val="00CE2133"/>
    <w:rsid w:val="00CE245D"/>
    <w:rsid w:val="00CE300F"/>
    <w:rsid w:val="00CE3582"/>
    <w:rsid w:val="00CE3795"/>
    <w:rsid w:val="00CE3E20"/>
    <w:rsid w:val="00CF4827"/>
    <w:rsid w:val="00CF4C69"/>
    <w:rsid w:val="00CF581C"/>
    <w:rsid w:val="00CF71E0"/>
    <w:rsid w:val="00D001B1"/>
    <w:rsid w:val="00D00B29"/>
    <w:rsid w:val="00D017C1"/>
    <w:rsid w:val="00D03176"/>
    <w:rsid w:val="00D04D79"/>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33A"/>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D6B"/>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5881"/>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4974"/>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D186C2-8802-47FD-B551-17ECC84D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E7477"/>
    <w:rPr>
      <w:sz w:val="16"/>
      <w:szCs w:val="16"/>
    </w:rPr>
  </w:style>
  <w:style w:type="paragraph" w:styleId="CommentText">
    <w:name w:val="annotation text"/>
    <w:basedOn w:val="Normal"/>
    <w:link w:val="CommentTextChar"/>
    <w:semiHidden/>
    <w:unhideWhenUsed/>
    <w:rsid w:val="007E7477"/>
    <w:rPr>
      <w:sz w:val="20"/>
      <w:szCs w:val="20"/>
    </w:rPr>
  </w:style>
  <w:style w:type="character" w:customStyle="1" w:styleId="CommentTextChar">
    <w:name w:val="Comment Text Char"/>
    <w:basedOn w:val="DefaultParagraphFont"/>
    <w:link w:val="CommentText"/>
    <w:semiHidden/>
    <w:rsid w:val="007E7477"/>
  </w:style>
  <w:style w:type="paragraph" w:styleId="CommentSubject">
    <w:name w:val="annotation subject"/>
    <w:basedOn w:val="CommentText"/>
    <w:next w:val="CommentText"/>
    <w:link w:val="CommentSubjectChar"/>
    <w:semiHidden/>
    <w:unhideWhenUsed/>
    <w:rsid w:val="007E7477"/>
    <w:rPr>
      <w:b/>
      <w:bCs/>
    </w:rPr>
  </w:style>
  <w:style w:type="character" w:customStyle="1" w:styleId="CommentSubjectChar">
    <w:name w:val="Comment Subject Char"/>
    <w:basedOn w:val="CommentTextChar"/>
    <w:link w:val="CommentSubject"/>
    <w:semiHidden/>
    <w:rsid w:val="007E7477"/>
    <w:rPr>
      <w:b/>
      <w:bCs/>
    </w:rPr>
  </w:style>
  <w:style w:type="paragraph" w:styleId="Revision">
    <w:name w:val="Revision"/>
    <w:hidden/>
    <w:uiPriority w:val="99"/>
    <w:semiHidden/>
    <w:rsid w:val="002C5B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3398</Characters>
  <Application>Microsoft Office Word</Application>
  <DocSecurity>4</DocSecurity>
  <Lines>84</Lines>
  <Paragraphs>28</Paragraphs>
  <ScaleCrop>false</ScaleCrop>
  <HeadingPairs>
    <vt:vector size="2" baseType="variant">
      <vt:variant>
        <vt:lpstr>Title</vt:lpstr>
      </vt:variant>
      <vt:variant>
        <vt:i4>1</vt:i4>
      </vt:variant>
    </vt:vector>
  </HeadingPairs>
  <TitlesOfParts>
    <vt:vector size="1" baseType="lpstr">
      <vt:lpstr>BA - HB03170 (Committee Report (Substituted))</vt:lpstr>
    </vt:vector>
  </TitlesOfParts>
  <Company>State of Texas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28328</dc:subject>
  <dc:creator>State of Texas</dc:creator>
  <dc:description>HB 3170 by Leach-(H)Judiciary &amp; Civil Jurisprudence (Substitute Document Number: 88R 26356)</dc:description>
  <cp:lastModifiedBy>Matthew Lee</cp:lastModifiedBy>
  <cp:revision>2</cp:revision>
  <cp:lastPrinted>2003-11-26T17:21:00Z</cp:lastPrinted>
  <dcterms:created xsi:type="dcterms:W3CDTF">2023-05-08T23:13:00Z</dcterms:created>
  <dcterms:modified xsi:type="dcterms:W3CDTF">2023-05-08T23:13:00Z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23.125.1767</vt:lpwstr>
  </property>
</Properties>
</file>