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63BFE" w14:paraId="339B3F81" w14:textId="77777777" w:rsidTr="00345119">
        <w:tc>
          <w:tcPr>
            <w:tcW w:w="9576" w:type="dxa"/>
            <w:noWrap/>
          </w:tcPr>
          <w:p w14:paraId="4B847577" w14:textId="77777777" w:rsidR="008423E4" w:rsidRPr="0022177D" w:rsidRDefault="00FD433D" w:rsidP="00AB1A23">
            <w:pPr>
              <w:pStyle w:val="Heading1"/>
            </w:pPr>
            <w:r w:rsidRPr="00631897">
              <w:t>BILL ANALYSIS</w:t>
            </w:r>
          </w:p>
        </w:tc>
      </w:tr>
    </w:tbl>
    <w:p w14:paraId="65E01991" w14:textId="77777777" w:rsidR="008423E4" w:rsidRPr="0022177D" w:rsidRDefault="008423E4" w:rsidP="00AB1A23">
      <w:pPr>
        <w:jc w:val="center"/>
      </w:pPr>
    </w:p>
    <w:p w14:paraId="6141CA7B" w14:textId="77777777" w:rsidR="008423E4" w:rsidRPr="00B31F0E" w:rsidRDefault="008423E4" w:rsidP="00AB1A23"/>
    <w:p w14:paraId="3401C5B9" w14:textId="77777777" w:rsidR="008423E4" w:rsidRPr="00742794" w:rsidRDefault="008423E4" w:rsidP="00AB1A2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63BFE" w14:paraId="1BDA8466" w14:textId="77777777" w:rsidTr="00345119">
        <w:tc>
          <w:tcPr>
            <w:tcW w:w="9576" w:type="dxa"/>
          </w:tcPr>
          <w:p w14:paraId="430B1968" w14:textId="7B3FBBAF" w:rsidR="008423E4" w:rsidRPr="00861995" w:rsidRDefault="00FD433D" w:rsidP="00AB1A23">
            <w:pPr>
              <w:jc w:val="right"/>
            </w:pPr>
            <w:r>
              <w:t>H.B. 3176</w:t>
            </w:r>
          </w:p>
        </w:tc>
      </w:tr>
      <w:tr w:rsidR="00C63BFE" w14:paraId="4B1DD30B" w14:textId="77777777" w:rsidTr="00345119">
        <w:tc>
          <w:tcPr>
            <w:tcW w:w="9576" w:type="dxa"/>
          </w:tcPr>
          <w:p w14:paraId="2915F9D3" w14:textId="32688A53" w:rsidR="008423E4" w:rsidRPr="00861995" w:rsidRDefault="00FD433D" w:rsidP="00AB1A23">
            <w:pPr>
              <w:jc w:val="right"/>
            </w:pPr>
            <w:r>
              <w:t xml:space="preserve">By: </w:t>
            </w:r>
            <w:r w:rsidR="00042D42">
              <w:t>Wu</w:t>
            </w:r>
          </w:p>
        </w:tc>
      </w:tr>
      <w:tr w:rsidR="00C63BFE" w14:paraId="00940767" w14:textId="77777777" w:rsidTr="00345119">
        <w:tc>
          <w:tcPr>
            <w:tcW w:w="9576" w:type="dxa"/>
          </w:tcPr>
          <w:p w14:paraId="52361A19" w14:textId="04E33FF0" w:rsidR="008423E4" w:rsidRPr="00861995" w:rsidRDefault="00FD433D" w:rsidP="00AB1A23">
            <w:pPr>
              <w:jc w:val="right"/>
            </w:pPr>
            <w:r>
              <w:t>Youth Health &amp; Safety, Select</w:t>
            </w:r>
          </w:p>
        </w:tc>
      </w:tr>
      <w:tr w:rsidR="00C63BFE" w14:paraId="1947EB50" w14:textId="77777777" w:rsidTr="00345119">
        <w:tc>
          <w:tcPr>
            <w:tcW w:w="9576" w:type="dxa"/>
          </w:tcPr>
          <w:p w14:paraId="49ECB77C" w14:textId="4E0BE3E4" w:rsidR="008423E4" w:rsidRDefault="00FD433D" w:rsidP="00AB1A23">
            <w:pPr>
              <w:jc w:val="right"/>
            </w:pPr>
            <w:r>
              <w:t>Committee Report (Unamended)</w:t>
            </w:r>
          </w:p>
        </w:tc>
      </w:tr>
    </w:tbl>
    <w:p w14:paraId="771B2424" w14:textId="77777777" w:rsidR="008423E4" w:rsidRDefault="008423E4" w:rsidP="00AB1A23">
      <w:pPr>
        <w:tabs>
          <w:tab w:val="right" w:pos="9360"/>
        </w:tabs>
      </w:pPr>
    </w:p>
    <w:p w14:paraId="67466F3D" w14:textId="77777777" w:rsidR="008423E4" w:rsidRDefault="008423E4" w:rsidP="00AB1A23"/>
    <w:p w14:paraId="1426623C" w14:textId="77777777" w:rsidR="008423E4" w:rsidRDefault="008423E4" w:rsidP="00AB1A2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63BFE" w14:paraId="4236CE3A" w14:textId="77777777" w:rsidTr="00345119">
        <w:tc>
          <w:tcPr>
            <w:tcW w:w="9576" w:type="dxa"/>
          </w:tcPr>
          <w:p w14:paraId="1F9360EE" w14:textId="77777777" w:rsidR="008423E4" w:rsidRPr="00A8133F" w:rsidRDefault="00FD433D" w:rsidP="00AB1A2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FA48B9" w14:textId="77777777" w:rsidR="008423E4" w:rsidRDefault="008423E4" w:rsidP="00AB1A23"/>
          <w:p w14:paraId="63C4DF3C" w14:textId="7AC94155" w:rsidR="008423E4" w:rsidRDefault="00FD433D" w:rsidP="00AB1A23">
            <w:pPr>
              <w:pStyle w:val="Header"/>
              <w:jc w:val="both"/>
            </w:pPr>
            <w:r>
              <w:t>Current law allows counties to operate specialty court programs using state and federal funds</w:t>
            </w:r>
            <w:r w:rsidR="009C184A">
              <w:t>, such as</w:t>
            </w:r>
            <w:r>
              <w:t xml:space="preserve"> drug court</w:t>
            </w:r>
            <w:r w:rsidR="009C184A">
              <w:t>s</w:t>
            </w:r>
            <w:r>
              <w:t xml:space="preserve">, </w:t>
            </w:r>
            <w:r>
              <w:t>veterans treatment court</w:t>
            </w:r>
            <w:r w:rsidR="009C184A">
              <w:t>s</w:t>
            </w:r>
            <w:r>
              <w:t>, mental health court</w:t>
            </w:r>
            <w:r w:rsidR="009C184A">
              <w:t>s</w:t>
            </w:r>
            <w:r>
              <w:t>, and public safety employees treatment court</w:t>
            </w:r>
            <w:r w:rsidR="009C184A">
              <w:t>s</w:t>
            </w:r>
            <w:r>
              <w:t xml:space="preserve">. Experts in the field of </w:t>
            </w:r>
            <w:r w:rsidR="002B1783">
              <w:t>adolescent psychological development</w:t>
            </w:r>
            <w:r>
              <w:t xml:space="preserve"> have conducted extensive empirical research </w:t>
            </w:r>
            <w:r w:rsidR="007E2D0C">
              <w:t xml:space="preserve">and report </w:t>
            </w:r>
            <w:r>
              <w:t>that 18-year-olds are predisposed to risky, i</w:t>
            </w:r>
            <w:r>
              <w:t xml:space="preserve">mpulsive behavior. </w:t>
            </w:r>
            <w:r w:rsidR="002B1783">
              <w:t>Research suggests that t</w:t>
            </w:r>
            <w:r>
              <w:t xml:space="preserve">he prefrontal cortex, responsible for regulating thoughts, emotions, and actions, is not fully developed until </w:t>
            </w:r>
            <w:r w:rsidR="006276DE">
              <w:t>a person reaches their mid-twenties</w:t>
            </w:r>
            <w:r>
              <w:t xml:space="preserve">. </w:t>
            </w:r>
            <w:r w:rsidR="00974174">
              <w:t>Therefore, i</w:t>
            </w:r>
            <w:r>
              <w:t>t is</w:t>
            </w:r>
            <w:r w:rsidR="006276DE">
              <w:t xml:space="preserve"> commonly</w:t>
            </w:r>
            <w:r>
              <w:t xml:space="preserve"> </w:t>
            </w:r>
            <w:r w:rsidR="006276DE">
              <w:t xml:space="preserve">understood </w:t>
            </w:r>
            <w:r>
              <w:t>that youthful offenders do n</w:t>
            </w:r>
            <w:r>
              <w:t xml:space="preserve">ot have the same capacity as adults when it comes to understanding the consequences of their actions and therefore should not be treated </w:t>
            </w:r>
            <w:r w:rsidR="002B1783">
              <w:t>equally</w:t>
            </w:r>
            <w:r>
              <w:t xml:space="preserve">. </w:t>
            </w:r>
            <w:r w:rsidR="006276DE">
              <w:t xml:space="preserve">Furthermore, </w:t>
            </w:r>
            <w:r w:rsidR="00CD5BE4">
              <w:t>academic studies suggest that</w:t>
            </w:r>
            <w:r w:rsidR="00974174">
              <w:t xml:space="preserve"> </w:t>
            </w:r>
            <w:r w:rsidR="006276DE">
              <w:t>only a small percentage</w:t>
            </w:r>
            <w:r>
              <w:t xml:space="preserve"> of youthful </w:t>
            </w:r>
            <w:r w:rsidR="00F4796A">
              <w:t xml:space="preserve">offenders' </w:t>
            </w:r>
            <w:r>
              <w:t>behavior persists in</w:t>
            </w:r>
            <w:r>
              <w:t xml:space="preserve">to adulthood, proving that </w:t>
            </w:r>
            <w:r w:rsidR="002B1783">
              <w:t>these offenders often</w:t>
            </w:r>
            <w:r>
              <w:t xml:space="preserve"> have a greater capacity for rehabilitation than adults. H.B. 3176 seeks to support this rehabilitative potential by providing for the </w:t>
            </w:r>
            <w:r w:rsidR="009C184A">
              <w:t>creation</w:t>
            </w:r>
            <w:r>
              <w:t xml:space="preserve"> of a youthful offender specialty court pilot program.</w:t>
            </w:r>
          </w:p>
          <w:p w14:paraId="12B4EEB8" w14:textId="77777777" w:rsidR="008423E4" w:rsidRPr="00E26B13" w:rsidRDefault="008423E4" w:rsidP="00AB1A23">
            <w:pPr>
              <w:rPr>
                <w:b/>
              </w:rPr>
            </w:pPr>
          </w:p>
        </w:tc>
      </w:tr>
      <w:tr w:rsidR="00C63BFE" w14:paraId="4588FB8F" w14:textId="77777777" w:rsidTr="00345119">
        <w:tc>
          <w:tcPr>
            <w:tcW w:w="9576" w:type="dxa"/>
          </w:tcPr>
          <w:p w14:paraId="4B92688D" w14:textId="77777777" w:rsidR="0017725B" w:rsidRDefault="00FD433D" w:rsidP="00AB1A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AC1CF20" w14:textId="77777777" w:rsidR="0017725B" w:rsidRDefault="0017725B" w:rsidP="00AB1A23">
            <w:pPr>
              <w:rPr>
                <w:b/>
                <w:u w:val="single"/>
              </w:rPr>
            </w:pPr>
          </w:p>
          <w:p w14:paraId="718A34E9" w14:textId="5E1CBAEA" w:rsidR="00E459E7" w:rsidRPr="00E459E7" w:rsidRDefault="00FD433D" w:rsidP="00AB1A2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48321CD5" w14:textId="77777777" w:rsidR="0017725B" w:rsidRPr="0017725B" w:rsidRDefault="0017725B" w:rsidP="00AB1A23">
            <w:pPr>
              <w:rPr>
                <w:b/>
                <w:u w:val="single"/>
              </w:rPr>
            </w:pPr>
          </w:p>
        </w:tc>
      </w:tr>
      <w:tr w:rsidR="00C63BFE" w14:paraId="017876F1" w14:textId="77777777" w:rsidTr="00345119">
        <w:tc>
          <w:tcPr>
            <w:tcW w:w="9576" w:type="dxa"/>
          </w:tcPr>
          <w:p w14:paraId="3327712B" w14:textId="77777777" w:rsidR="008423E4" w:rsidRPr="00A8133F" w:rsidRDefault="00FD433D" w:rsidP="00AB1A2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B2D5EC2" w14:textId="77777777" w:rsidR="008423E4" w:rsidRDefault="008423E4" w:rsidP="00AB1A23"/>
          <w:p w14:paraId="5A54CCCA" w14:textId="02414ABC" w:rsidR="00E459E7" w:rsidRDefault="00FD433D" w:rsidP="00AB1A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3E2DE57" w14:textId="77777777" w:rsidR="008423E4" w:rsidRPr="00E21FDC" w:rsidRDefault="008423E4" w:rsidP="00AB1A23">
            <w:pPr>
              <w:rPr>
                <w:b/>
              </w:rPr>
            </w:pPr>
          </w:p>
        </w:tc>
      </w:tr>
      <w:tr w:rsidR="00C63BFE" w14:paraId="5A095B5C" w14:textId="77777777" w:rsidTr="00345119">
        <w:tc>
          <w:tcPr>
            <w:tcW w:w="9576" w:type="dxa"/>
          </w:tcPr>
          <w:p w14:paraId="0577AC09" w14:textId="77777777" w:rsidR="008423E4" w:rsidRPr="00A8133F" w:rsidRDefault="00FD433D" w:rsidP="00AB1A2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0F7663" w14:textId="77777777" w:rsidR="008423E4" w:rsidRDefault="008423E4" w:rsidP="00AB1A23"/>
          <w:p w14:paraId="501F83C2" w14:textId="508D6521" w:rsidR="00E459E7" w:rsidRDefault="00FD433D" w:rsidP="00AB1A23">
            <w:pPr>
              <w:pStyle w:val="Header"/>
              <w:jc w:val="both"/>
            </w:pPr>
            <w:r>
              <w:t xml:space="preserve">H.B. 3176 amends the Government Code to authorize a county </w:t>
            </w:r>
            <w:r w:rsidRPr="0060244B">
              <w:t xml:space="preserve">commissioners court </w:t>
            </w:r>
            <w:r>
              <w:t>to</w:t>
            </w:r>
            <w:r w:rsidRPr="0060244B">
              <w:t xml:space="preserve"> establish a youthful offender pilot court program for persons arrested for or charged with </w:t>
            </w:r>
            <w:r>
              <w:t xml:space="preserve">an </w:t>
            </w:r>
            <w:r w:rsidRPr="0060244B">
              <w:t>offense</w:t>
            </w:r>
            <w:r>
              <w:t xml:space="preserve"> punishable as a felony</w:t>
            </w:r>
            <w:r w:rsidR="006F0594">
              <w:t>,</w:t>
            </w:r>
            <w:r>
              <w:t xml:space="preserve"> </w:t>
            </w:r>
            <w:r w:rsidRPr="0060244B">
              <w:t xml:space="preserve">other than an offense </w:t>
            </w:r>
            <w:r>
              <w:t>for which a defendant is n</w:t>
            </w:r>
            <w:r>
              <w:t>ot eligible for j</w:t>
            </w:r>
            <w:r w:rsidRPr="00C30F5B">
              <w:t>udge-ordered community supervision</w:t>
            </w:r>
            <w:r>
              <w:t xml:space="preserve">, committed when the person was </w:t>
            </w:r>
            <w:r w:rsidRPr="00B736A9">
              <w:t>at least 17 years of age but younger than 22 years of age</w:t>
            </w:r>
            <w:r w:rsidRPr="0060244B">
              <w:t>.</w:t>
            </w:r>
            <w:r>
              <w:t xml:space="preserve"> </w:t>
            </w:r>
            <w:r w:rsidRPr="00747199">
              <w:t xml:space="preserve">If a defendant successfully completes </w:t>
            </w:r>
            <w:r>
              <w:t>the</w:t>
            </w:r>
            <w:r w:rsidRPr="00747199">
              <w:t xml:space="preserve"> program, after notice to the </w:t>
            </w:r>
            <w:r>
              <w:t xml:space="preserve">state's </w:t>
            </w:r>
            <w:r w:rsidRPr="00747199">
              <w:t>attorney and a hearing in the pilot</w:t>
            </w:r>
            <w:r w:rsidRPr="00747199">
              <w:t xml:space="preserve"> court at which that court determines that a dismissal is in the best interest of justice, the court in which the</w:t>
            </w:r>
            <w:r>
              <w:t xml:space="preserve"> </w:t>
            </w:r>
            <w:r w:rsidRPr="00747199">
              <w:t xml:space="preserve">criminal case is pending </w:t>
            </w:r>
            <w:r>
              <w:t>must</w:t>
            </w:r>
            <w:r w:rsidRPr="00747199">
              <w:t xml:space="preserve"> dismiss the case against the defendant</w:t>
            </w:r>
            <w:r>
              <w:t xml:space="preserve">. </w:t>
            </w:r>
            <w:r w:rsidRPr="00A0483F">
              <w:t>The bill requires the court in</w:t>
            </w:r>
            <w:r>
              <w:t xml:space="preserve"> which</w:t>
            </w:r>
            <w:r w:rsidRPr="00A0483F">
              <w:t xml:space="preserve"> </w:t>
            </w:r>
            <w:r>
              <w:t xml:space="preserve">the </w:t>
            </w:r>
            <w:r w:rsidRPr="00A0483F">
              <w:t>criminal case is pending to all</w:t>
            </w:r>
            <w:r w:rsidRPr="00A0483F">
              <w:t xml:space="preserve">ow </w:t>
            </w:r>
            <w:r>
              <w:t xml:space="preserve">an eligible </w:t>
            </w:r>
            <w:r w:rsidRPr="00A0483F">
              <w:t>defendant to choose whether to proceed through the program or otherwise through the criminal justice system.</w:t>
            </w:r>
            <w:r>
              <w:t xml:space="preserve"> A </w:t>
            </w:r>
            <w:r w:rsidRPr="004C71BA">
              <w:t xml:space="preserve">youthful offender pilot court </w:t>
            </w:r>
            <w:r>
              <w:t>program has the following essential characteristics:</w:t>
            </w:r>
          </w:p>
          <w:p w14:paraId="640E91DA" w14:textId="77777777" w:rsidR="00E459E7" w:rsidRDefault="00FD433D" w:rsidP="00AB1A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integration of services in the processing o</w:t>
            </w:r>
            <w:r>
              <w:t>f cases in the judicial system;</w:t>
            </w:r>
          </w:p>
          <w:p w14:paraId="1DFE3303" w14:textId="77777777" w:rsidR="00E459E7" w:rsidRDefault="00FD433D" w:rsidP="00AB1A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use of a nonadversarial</w:t>
            </w:r>
            <w:r>
              <w:t xml:space="preserve"> approach involving prosecutors and defense attorneys to promote public safety and to protect the due process rights of program participants;</w:t>
            </w:r>
          </w:p>
          <w:p w14:paraId="3BF7B343" w14:textId="77777777" w:rsidR="00E459E7" w:rsidRDefault="00FD433D" w:rsidP="00AB1A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early identification and prompt placement of eligible program participants;</w:t>
            </w:r>
          </w:p>
          <w:p w14:paraId="28A4DB85" w14:textId="77777777" w:rsidR="00E459E7" w:rsidRDefault="00FD433D" w:rsidP="00AB1A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access to a continuum of counseling, m</w:t>
            </w:r>
            <w:r>
              <w:t>ental health, alcohol, controlled substance, and other related treatment and rehabilitative services;</w:t>
            </w:r>
          </w:p>
          <w:p w14:paraId="57865069" w14:textId="77777777" w:rsidR="00E459E7" w:rsidRDefault="00FD433D" w:rsidP="00AB1A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careful monitoring of treatment and services provided to program participants;</w:t>
            </w:r>
          </w:p>
          <w:p w14:paraId="56C7B6D7" w14:textId="77777777" w:rsidR="00E459E7" w:rsidRDefault="00FD433D" w:rsidP="00AB1A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coordinated strategy to govern program responses to participants' complia</w:t>
            </w:r>
            <w:r>
              <w:t>nce;</w:t>
            </w:r>
          </w:p>
          <w:p w14:paraId="46BE491F" w14:textId="77777777" w:rsidR="00E459E7" w:rsidRDefault="00FD433D" w:rsidP="00AB1A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ongoing judicial interaction with program participants;</w:t>
            </w:r>
          </w:p>
          <w:p w14:paraId="0D07FD23" w14:textId="77777777" w:rsidR="00E459E7" w:rsidRDefault="00FD433D" w:rsidP="00AB1A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monitoring and evaluation of program goals and effectiveness;</w:t>
            </w:r>
          </w:p>
          <w:p w14:paraId="0686D726" w14:textId="77777777" w:rsidR="00E459E7" w:rsidRDefault="00FD433D" w:rsidP="00AB1A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continuing interdisciplinary education to promote effective program planning, implementation, and operations;</w:t>
            </w:r>
          </w:p>
          <w:p w14:paraId="7DF87F74" w14:textId="77777777" w:rsidR="00E459E7" w:rsidRDefault="00FD433D" w:rsidP="00AB1A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development of partners</w:t>
            </w:r>
            <w:r>
              <w:t>hips with public agencies and community organizations; and</w:t>
            </w:r>
          </w:p>
          <w:p w14:paraId="413E7D40" w14:textId="77777777" w:rsidR="00E459E7" w:rsidRDefault="00FD433D" w:rsidP="00AB1A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inclusion of a participant's family members who agree to be involved in the treatment and services provided to the participant under the program.</w:t>
            </w:r>
          </w:p>
          <w:p w14:paraId="1557E0B0" w14:textId="77777777" w:rsidR="00E459E7" w:rsidRDefault="00E459E7" w:rsidP="00AB1A23">
            <w:pPr>
              <w:pStyle w:val="Header"/>
              <w:jc w:val="both"/>
            </w:pPr>
          </w:p>
          <w:p w14:paraId="67536AA5" w14:textId="77777777" w:rsidR="00E459E7" w:rsidRDefault="00FD433D" w:rsidP="00AB1A23">
            <w:pPr>
              <w:pStyle w:val="Header"/>
              <w:jc w:val="both"/>
            </w:pPr>
            <w:r>
              <w:t>H.B. 3176 requires a youthful offender pilot court</w:t>
            </w:r>
            <w:r>
              <w:t xml:space="preserve"> program to do the following:</w:t>
            </w:r>
          </w:p>
          <w:p w14:paraId="062F2A51" w14:textId="77777777" w:rsidR="00E459E7" w:rsidRDefault="00FD433D" w:rsidP="00AB1A2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ensure that a defendant eligible for program participation is provided legal counsel before electing to proceed through the program and while participating in the program;</w:t>
            </w:r>
          </w:p>
          <w:p w14:paraId="5A7707E4" w14:textId="77777777" w:rsidR="00E459E7" w:rsidRDefault="00FD433D" w:rsidP="00AB1A2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allow a participant to withdraw from the program at an</w:t>
            </w:r>
            <w:r>
              <w:t>y time before a trial on the merits has been initiated;</w:t>
            </w:r>
          </w:p>
          <w:p w14:paraId="2376A4F3" w14:textId="77777777" w:rsidR="00E459E7" w:rsidRDefault="00FD433D" w:rsidP="00AB1A2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provide a participant with a court-ordered individualized plan indicating the services that will be provided to the participant; and</w:t>
            </w:r>
          </w:p>
          <w:p w14:paraId="19A2C011" w14:textId="77777777" w:rsidR="00E459E7" w:rsidRDefault="00FD433D" w:rsidP="00AB1A23">
            <w:pPr>
              <w:pStyle w:val="Header"/>
              <w:numPr>
                <w:ilvl w:val="0"/>
                <w:numId w:val="2"/>
              </w:numPr>
              <w:jc w:val="both"/>
            </w:pPr>
            <w:r w:rsidRPr="001074C4">
              <w:t>make, establish, and publish local procedures to ensure maximum par</w:t>
            </w:r>
            <w:r w:rsidRPr="001074C4">
              <w:t>ticipation of eligible defendants in the program</w:t>
            </w:r>
            <w:r>
              <w:t>.</w:t>
            </w:r>
          </w:p>
          <w:p w14:paraId="13AF1216" w14:textId="77777777" w:rsidR="00E459E7" w:rsidRDefault="00FD433D" w:rsidP="00AB1A23">
            <w:pPr>
              <w:pStyle w:val="Header"/>
              <w:jc w:val="both"/>
            </w:pPr>
            <w:r>
              <w:t xml:space="preserve">The bill authorizes a program to </w:t>
            </w:r>
            <w:r w:rsidRPr="001074C4">
              <w:t>allow a participant to comply with the</w:t>
            </w:r>
            <w:r>
              <w:t>ir</w:t>
            </w:r>
            <w:r w:rsidRPr="001074C4">
              <w:t xml:space="preserve"> court-ordered individualized plan or to fulfill certain other court obligations through the use of videoconferencing software or oth</w:t>
            </w:r>
            <w:r w:rsidRPr="001074C4">
              <w:t xml:space="preserve">er </w:t>
            </w:r>
            <w:r>
              <w:t>I</w:t>
            </w:r>
            <w:r w:rsidRPr="001074C4">
              <w:t>nternet-based communications.</w:t>
            </w:r>
          </w:p>
          <w:p w14:paraId="3E559B87" w14:textId="77777777" w:rsidR="00E459E7" w:rsidRDefault="00E459E7" w:rsidP="00AB1A23">
            <w:pPr>
              <w:pStyle w:val="Header"/>
              <w:jc w:val="both"/>
            </w:pPr>
          </w:p>
          <w:p w14:paraId="7B3DA43D" w14:textId="7D45161B" w:rsidR="009C36CD" w:rsidRPr="009C36CD" w:rsidRDefault="00FD433D" w:rsidP="00AB1A23">
            <w:pPr>
              <w:pStyle w:val="Header"/>
              <w:jc w:val="both"/>
            </w:pPr>
            <w:r>
              <w:t xml:space="preserve">H.B. 3176 </w:t>
            </w:r>
            <w:r w:rsidRPr="00B736A9">
              <w:t>requires the</w:t>
            </w:r>
            <w:r>
              <w:t xml:space="preserve"> </w:t>
            </w:r>
            <w:r w:rsidRPr="00B736A9">
              <w:t xml:space="preserve">commissioners court of a county that establishes a </w:t>
            </w:r>
            <w:r>
              <w:t xml:space="preserve">youthful offender court </w:t>
            </w:r>
            <w:r w:rsidRPr="00B736A9">
              <w:t>program to submit not later than December 1, 2024</w:t>
            </w:r>
            <w:r>
              <w:t>,</w:t>
            </w:r>
            <w:r w:rsidRPr="00B736A9">
              <w:t xml:space="preserve"> a report </w:t>
            </w:r>
            <w:r w:rsidRPr="00F72612">
              <w:t>regarding the program</w:t>
            </w:r>
            <w:r>
              <w:t>'s effectiveness</w:t>
            </w:r>
            <w:r w:rsidRPr="00F72612">
              <w:t xml:space="preserve"> at enhancing judicial compliance and decreasing recidivism of youthful offenders </w:t>
            </w:r>
            <w:r w:rsidRPr="00B736A9">
              <w:t>to the governor, lieutenant governor, speaker of the house of representatives, and standing committees of the legislature with primary jurisdiction over criminal justice matt</w:t>
            </w:r>
            <w:r w:rsidRPr="00B736A9">
              <w:t>ers. The report must include the commissioners court's recommendation on whether the program should be continued.</w:t>
            </w:r>
            <w:r>
              <w:t xml:space="preserve"> The bill's provisions expire </w:t>
            </w:r>
            <w:r w:rsidRPr="001074C4">
              <w:t>September 1, 2025.</w:t>
            </w:r>
          </w:p>
          <w:p w14:paraId="06D2A4CF" w14:textId="77777777" w:rsidR="008423E4" w:rsidRPr="00835628" w:rsidRDefault="008423E4" w:rsidP="00AB1A23">
            <w:pPr>
              <w:rPr>
                <w:b/>
              </w:rPr>
            </w:pPr>
          </w:p>
        </w:tc>
      </w:tr>
      <w:tr w:rsidR="00C63BFE" w14:paraId="052836D5" w14:textId="77777777" w:rsidTr="00345119">
        <w:tc>
          <w:tcPr>
            <w:tcW w:w="9576" w:type="dxa"/>
          </w:tcPr>
          <w:p w14:paraId="3402C12C" w14:textId="77777777" w:rsidR="008423E4" w:rsidRPr="00A8133F" w:rsidRDefault="00FD433D" w:rsidP="00AB1A2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B98C46" w14:textId="77777777" w:rsidR="008423E4" w:rsidRDefault="008423E4" w:rsidP="00AB1A23"/>
          <w:p w14:paraId="31474AB9" w14:textId="76AF304E" w:rsidR="008423E4" w:rsidRPr="003624F2" w:rsidRDefault="00FD433D" w:rsidP="00AB1A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459E7">
              <w:t>September 1, 2023.</w:t>
            </w:r>
          </w:p>
          <w:p w14:paraId="170A6743" w14:textId="77777777" w:rsidR="008423E4" w:rsidRPr="00233FDB" w:rsidRDefault="008423E4" w:rsidP="00AB1A23">
            <w:pPr>
              <w:rPr>
                <w:b/>
              </w:rPr>
            </w:pPr>
          </w:p>
        </w:tc>
      </w:tr>
    </w:tbl>
    <w:p w14:paraId="72CC3369" w14:textId="77777777" w:rsidR="008423E4" w:rsidRPr="00BE0E75" w:rsidRDefault="008423E4" w:rsidP="00AB1A23">
      <w:pPr>
        <w:jc w:val="both"/>
        <w:rPr>
          <w:rFonts w:ascii="Arial" w:hAnsi="Arial"/>
          <w:sz w:val="16"/>
          <w:szCs w:val="16"/>
        </w:rPr>
      </w:pPr>
    </w:p>
    <w:p w14:paraId="1EDD3F87" w14:textId="77777777" w:rsidR="004108C3" w:rsidRPr="008423E4" w:rsidRDefault="004108C3" w:rsidP="00AB1A2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D7AA" w14:textId="77777777" w:rsidR="00000000" w:rsidRDefault="00FD433D">
      <w:r>
        <w:separator/>
      </w:r>
    </w:p>
  </w:endnote>
  <w:endnote w:type="continuationSeparator" w:id="0">
    <w:p w14:paraId="1FC88DE7" w14:textId="77777777" w:rsidR="00000000" w:rsidRDefault="00FD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1B2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63BFE" w14:paraId="2246AE31" w14:textId="77777777" w:rsidTr="009C1E9A">
      <w:trPr>
        <w:cantSplit/>
      </w:trPr>
      <w:tc>
        <w:tcPr>
          <w:tcW w:w="0" w:type="pct"/>
        </w:tcPr>
        <w:p w14:paraId="4200A1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315E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FE735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9BFB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09FD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3BFE" w14:paraId="7E5CB458" w14:textId="77777777" w:rsidTr="009C1E9A">
      <w:trPr>
        <w:cantSplit/>
      </w:trPr>
      <w:tc>
        <w:tcPr>
          <w:tcW w:w="0" w:type="pct"/>
        </w:tcPr>
        <w:p w14:paraId="0C954B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6BC1A7" w14:textId="4FAD91B6" w:rsidR="00EC379B" w:rsidRPr="009C1E9A" w:rsidRDefault="00FD433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24721-D</w:t>
          </w:r>
        </w:p>
      </w:tc>
      <w:tc>
        <w:tcPr>
          <w:tcW w:w="2453" w:type="pct"/>
        </w:tcPr>
        <w:p w14:paraId="7EF0FE67" w14:textId="15DC6087" w:rsidR="00EC379B" w:rsidRDefault="00FD433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7424C">
            <w:t>23.108.1385</w:t>
          </w:r>
          <w:r>
            <w:fldChar w:fldCharType="end"/>
          </w:r>
        </w:p>
      </w:tc>
    </w:tr>
    <w:tr w:rsidR="00C63BFE" w14:paraId="01666ABD" w14:textId="77777777" w:rsidTr="009C1E9A">
      <w:trPr>
        <w:cantSplit/>
      </w:trPr>
      <w:tc>
        <w:tcPr>
          <w:tcW w:w="0" w:type="pct"/>
        </w:tcPr>
        <w:p w14:paraId="457F88C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AF416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66C5F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A84B8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3BFE" w14:paraId="77E7085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1198F54" w14:textId="77777777" w:rsidR="00EC379B" w:rsidRDefault="00FD433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C9C6B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371BF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B4A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4D5A" w14:textId="77777777" w:rsidR="00000000" w:rsidRDefault="00FD433D">
      <w:r>
        <w:separator/>
      </w:r>
    </w:p>
  </w:footnote>
  <w:footnote w:type="continuationSeparator" w:id="0">
    <w:p w14:paraId="7DD3301D" w14:textId="77777777" w:rsidR="00000000" w:rsidRDefault="00FD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6A2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914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976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4284"/>
    <w:multiLevelType w:val="hybridMultilevel"/>
    <w:tmpl w:val="0F360AF0"/>
    <w:lvl w:ilvl="0" w:tplc="E33C2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62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20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A5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CB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69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A7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4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62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B34A1"/>
    <w:multiLevelType w:val="hybridMultilevel"/>
    <w:tmpl w:val="629EA1B0"/>
    <w:lvl w:ilvl="0" w:tplc="37B8F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740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6F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E2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09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E7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6A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80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402092">
    <w:abstractNumId w:val="0"/>
  </w:num>
  <w:num w:numId="2" w16cid:durableId="189643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C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D42"/>
    <w:rsid w:val="00043B84"/>
    <w:rsid w:val="0004512B"/>
    <w:rsid w:val="000463F0"/>
    <w:rsid w:val="00046BDA"/>
    <w:rsid w:val="0004762E"/>
    <w:rsid w:val="00050B1D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76E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4C4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24C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783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1BA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44B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6DE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594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199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D0C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174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A0A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84A"/>
    <w:rsid w:val="009C1E9A"/>
    <w:rsid w:val="009C2A33"/>
    <w:rsid w:val="009C2E49"/>
    <w:rsid w:val="009C36CD"/>
    <w:rsid w:val="009C43A5"/>
    <w:rsid w:val="009C4C0B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238"/>
    <w:rsid w:val="00A03F54"/>
    <w:rsid w:val="00A0432D"/>
    <w:rsid w:val="00A0483F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930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2F6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A2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6A9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96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7CE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F5B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BF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BE4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4D0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06C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9E7"/>
    <w:rsid w:val="00E500F1"/>
    <w:rsid w:val="00E51446"/>
    <w:rsid w:val="00E52739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96A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612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536"/>
    <w:rsid w:val="00FB73AE"/>
    <w:rsid w:val="00FC5388"/>
    <w:rsid w:val="00FC726C"/>
    <w:rsid w:val="00FD1B4B"/>
    <w:rsid w:val="00FD1B94"/>
    <w:rsid w:val="00FD433D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4089CF-40C4-4EDA-91DC-CD57FC5A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459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5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9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9E7"/>
    <w:rPr>
      <w:b/>
      <w:bCs/>
    </w:rPr>
  </w:style>
  <w:style w:type="paragraph" w:styleId="Revision">
    <w:name w:val="Revision"/>
    <w:hidden/>
    <w:uiPriority w:val="99"/>
    <w:semiHidden/>
    <w:rsid w:val="00E459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4534</Characters>
  <Application>Microsoft Office Word</Application>
  <DocSecurity>4</DocSecurity>
  <Lines>92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HB03176 (Committee Report (Unamended))</vt:lpstr>
    </vt:vector>
  </TitlesOfParts>
  <Company>State of Texas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24721</dc:subject>
  <dc:creator>State of Texas</dc:creator>
  <dc:description>HB 3176 by Wu-(H)Youth Health &amp; Safety, Select</dc:description>
  <cp:lastModifiedBy>Stacey Nicchio</cp:lastModifiedBy>
  <cp:revision>2</cp:revision>
  <cp:lastPrinted>2003-11-26T17:21:00Z</cp:lastPrinted>
  <dcterms:created xsi:type="dcterms:W3CDTF">2023-04-18T23:04:00Z</dcterms:created>
  <dcterms:modified xsi:type="dcterms:W3CDTF">2023-04-18T23:04:00Z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23.108.1385</vt:lpwstr>
  </property>
</Properties>
</file>