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405CA" w14:paraId="5035A879" w14:textId="77777777" w:rsidTr="00345119">
        <w:tc>
          <w:tcPr>
            <w:tcW w:w="9576" w:type="dxa"/>
            <w:noWrap/>
          </w:tcPr>
          <w:p w14:paraId="08C03172" w14:textId="77777777" w:rsidR="008423E4" w:rsidRPr="0022177D" w:rsidRDefault="00A82067" w:rsidP="00057453">
            <w:pPr>
              <w:pStyle w:val="Heading1"/>
            </w:pPr>
            <w:r w:rsidRPr="00631897">
              <w:t>BILL ANALYSIS</w:t>
            </w:r>
          </w:p>
        </w:tc>
      </w:tr>
    </w:tbl>
    <w:p w14:paraId="358CFD6E" w14:textId="77777777" w:rsidR="008423E4" w:rsidRPr="0022177D" w:rsidRDefault="008423E4" w:rsidP="00057453">
      <w:pPr>
        <w:jc w:val="center"/>
      </w:pPr>
    </w:p>
    <w:p w14:paraId="7CE325C5" w14:textId="77777777" w:rsidR="008423E4" w:rsidRPr="00B31F0E" w:rsidRDefault="008423E4" w:rsidP="00057453"/>
    <w:p w14:paraId="312CFB57" w14:textId="77777777" w:rsidR="008423E4" w:rsidRPr="00742794" w:rsidRDefault="008423E4" w:rsidP="0005745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405CA" w14:paraId="6113F9E1" w14:textId="77777777" w:rsidTr="00345119">
        <w:tc>
          <w:tcPr>
            <w:tcW w:w="9576" w:type="dxa"/>
          </w:tcPr>
          <w:p w14:paraId="25B30D5A" w14:textId="1FD487ED" w:rsidR="008423E4" w:rsidRPr="00861995" w:rsidRDefault="00A82067" w:rsidP="00057453">
            <w:pPr>
              <w:jc w:val="right"/>
            </w:pPr>
            <w:r>
              <w:t>H.B. 3220</w:t>
            </w:r>
          </w:p>
        </w:tc>
      </w:tr>
      <w:tr w:rsidR="004405CA" w14:paraId="24C65A0A" w14:textId="77777777" w:rsidTr="00345119">
        <w:tc>
          <w:tcPr>
            <w:tcW w:w="9576" w:type="dxa"/>
          </w:tcPr>
          <w:p w14:paraId="566611D1" w14:textId="7F71FE1E" w:rsidR="008423E4" w:rsidRPr="00861995" w:rsidRDefault="00A82067" w:rsidP="00057453">
            <w:pPr>
              <w:jc w:val="right"/>
            </w:pPr>
            <w:r>
              <w:t xml:space="preserve">By: </w:t>
            </w:r>
            <w:r w:rsidR="00400B14">
              <w:t>Garcia</w:t>
            </w:r>
          </w:p>
        </w:tc>
      </w:tr>
      <w:tr w:rsidR="004405CA" w14:paraId="0601FAE9" w14:textId="77777777" w:rsidTr="00345119">
        <w:tc>
          <w:tcPr>
            <w:tcW w:w="9576" w:type="dxa"/>
          </w:tcPr>
          <w:p w14:paraId="687906AD" w14:textId="27FC0453" w:rsidR="008423E4" w:rsidRPr="00861995" w:rsidRDefault="00A82067" w:rsidP="00057453">
            <w:pPr>
              <w:jc w:val="right"/>
            </w:pPr>
            <w:r>
              <w:t>Defense &amp; Veterans' Affairs</w:t>
            </w:r>
          </w:p>
        </w:tc>
      </w:tr>
      <w:tr w:rsidR="004405CA" w14:paraId="3F27EFFD" w14:textId="77777777" w:rsidTr="00345119">
        <w:tc>
          <w:tcPr>
            <w:tcW w:w="9576" w:type="dxa"/>
          </w:tcPr>
          <w:p w14:paraId="15036AE1" w14:textId="043C1DCB" w:rsidR="008423E4" w:rsidRDefault="00A82067" w:rsidP="00057453">
            <w:pPr>
              <w:jc w:val="right"/>
            </w:pPr>
            <w:r>
              <w:t>Committee Report (Unamended)</w:t>
            </w:r>
          </w:p>
        </w:tc>
      </w:tr>
    </w:tbl>
    <w:p w14:paraId="7A2E83DD" w14:textId="77777777" w:rsidR="008423E4" w:rsidRDefault="008423E4" w:rsidP="00057453">
      <w:pPr>
        <w:tabs>
          <w:tab w:val="right" w:pos="9360"/>
        </w:tabs>
      </w:pPr>
    </w:p>
    <w:p w14:paraId="6585B603" w14:textId="77777777" w:rsidR="008423E4" w:rsidRDefault="008423E4" w:rsidP="00057453"/>
    <w:p w14:paraId="55A46D53" w14:textId="77777777" w:rsidR="008423E4" w:rsidRDefault="008423E4" w:rsidP="0005745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405CA" w14:paraId="0DA6185A" w14:textId="77777777" w:rsidTr="00345119">
        <w:tc>
          <w:tcPr>
            <w:tcW w:w="9576" w:type="dxa"/>
          </w:tcPr>
          <w:p w14:paraId="2002F9FF" w14:textId="77777777" w:rsidR="008423E4" w:rsidRPr="00A8133F" w:rsidRDefault="00A82067" w:rsidP="0005745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D3D743E" w14:textId="77777777" w:rsidR="008423E4" w:rsidRDefault="008423E4" w:rsidP="00057453"/>
          <w:p w14:paraId="41B3A98B" w14:textId="77777777" w:rsidR="008423E4" w:rsidRDefault="00A82067" w:rsidP="000574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According to </w:t>
            </w:r>
            <w:r w:rsidR="00344903">
              <w:t xml:space="preserve">population </w:t>
            </w:r>
            <w:r>
              <w:t>data from</w:t>
            </w:r>
            <w:r w:rsidR="00344903">
              <w:t xml:space="preserve"> the U.S. Census Bureau</w:t>
            </w:r>
            <w:r>
              <w:t>, v</w:t>
            </w:r>
            <w:r w:rsidR="00814BC2">
              <w:t xml:space="preserve">eterans make up roughly </w:t>
            </w:r>
            <w:r w:rsidR="00F42C10">
              <w:t xml:space="preserve">five </w:t>
            </w:r>
            <w:r>
              <w:t>percent</w:t>
            </w:r>
            <w:r w:rsidR="00814BC2">
              <w:t xml:space="preserve"> of the population in Texas</w:t>
            </w:r>
            <w:r w:rsidR="00AE0574">
              <w:t>.</w:t>
            </w:r>
            <w:r>
              <w:t xml:space="preserve"> </w:t>
            </w:r>
            <w:r w:rsidR="00AE0574">
              <w:t>H</w:t>
            </w:r>
            <w:r>
              <w:t>owever,</w:t>
            </w:r>
            <w:r w:rsidR="00814BC2">
              <w:t xml:space="preserve"> </w:t>
            </w:r>
            <w:r w:rsidR="00344903">
              <w:t xml:space="preserve">the </w:t>
            </w:r>
            <w:r w:rsidR="00344903" w:rsidRPr="00344903">
              <w:t>U.S</w:t>
            </w:r>
            <w:r w:rsidR="00344903">
              <w:t>.</w:t>
            </w:r>
            <w:r w:rsidR="00344903" w:rsidRPr="00344903">
              <w:t xml:space="preserve"> Interagency Council on Homelessness</w:t>
            </w:r>
            <w:r w:rsidR="00344903">
              <w:t xml:space="preserve"> finds that veterans account for </w:t>
            </w:r>
            <w:r w:rsidR="00AE0574">
              <w:t xml:space="preserve">roughly </w:t>
            </w:r>
            <w:r w:rsidR="00F42C10">
              <w:t xml:space="preserve">seven </w:t>
            </w:r>
            <w:r w:rsidR="00344903">
              <w:t>percent</w:t>
            </w:r>
            <w:r w:rsidR="00814BC2">
              <w:t xml:space="preserve"> of the </w:t>
            </w:r>
            <w:r w:rsidR="00344903">
              <w:t xml:space="preserve">state's </w:t>
            </w:r>
            <w:r w:rsidR="00814BC2">
              <w:t xml:space="preserve">homeless population. </w:t>
            </w:r>
            <w:r w:rsidR="005C42EB">
              <w:t xml:space="preserve">Given that the Texas Coordinating Council for Veterans Services reports </w:t>
            </w:r>
            <w:r w:rsidR="00814BC2">
              <w:t>the average</w:t>
            </w:r>
            <w:r w:rsidR="005C42EB">
              <w:t xml:space="preserve"> earning of a</w:t>
            </w:r>
            <w:r w:rsidR="00814BC2">
              <w:t xml:space="preserve"> homeless veteran </w:t>
            </w:r>
            <w:r w:rsidR="005C42EB">
              <w:t>to be</w:t>
            </w:r>
            <w:r w:rsidR="00814BC2">
              <w:t xml:space="preserve"> at or below $1,000 per month in </w:t>
            </w:r>
            <w:r w:rsidR="00DD562C">
              <w:t>federal</w:t>
            </w:r>
            <w:r w:rsidR="00814BC2">
              <w:t xml:space="preserve"> benefits, affordable housing options remain extremely limited. At the same time, Texas is fortunate to have various government buildings and properties which could be utilized to provide housing and wraparound services</w:t>
            </w:r>
            <w:r w:rsidR="005C42EB">
              <w:t xml:space="preserve"> to these veterans</w:t>
            </w:r>
            <w:r w:rsidR="00814BC2">
              <w:t xml:space="preserve">. </w:t>
            </w:r>
            <w:r w:rsidR="00814BC2" w:rsidRPr="00814BC2">
              <w:t>H</w:t>
            </w:r>
            <w:r w:rsidR="005C42EB">
              <w:t>.</w:t>
            </w:r>
            <w:r w:rsidR="00814BC2" w:rsidRPr="00814BC2">
              <w:t>B</w:t>
            </w:r>
            <w:r w:rsidR="005C42EB">
              <w:t>.</w:t>
            </w:r>
            <w:r w:rsidR="00814BC2" w:rsidRPr="00814BC2">
              <w:t xml:space="preserve"> 3220 </w:t>
            </w:r>
            <w:r w:rsidR="005C42EB">
              <w:t xml:space="preserve">seeks to address the supply of housing available to homeless veterans by </w:t>
            </w:r>
            <w:r w:rsidR="00814BC2" w:rsidRPr="00814BC2">
              <w:t>instruct</w:t>
            </w:r>
            <w:r w:rsidR="005C42EB">
              <w:t>ing</w:t>
            </w:r>
            <w:r w:rsidR="00814BC2" w:rsidRPr="00814BC2">
              <w:t xml:space="preserve"> the </w:t>
            </w:r>
            <w:r w:rsidR="005C42EB">
              <w:t>Texas Coordinating Council for Veterans Services</w:t>
            </w:r>
            <w:r w:rsidR="00814BC2" w:rsidRPr="00814BC2">
              <w:t xml:space="preserve"> to conduct a study on the use of surplus government property for the development of</w:t>
            </w:r>
            <w:r w:rsidR="00CA293D">
              <w:t xml:space="preserve"> such</w:t>
            </w:r>
            <w:r w:rsidR="00814BC2" w:rsidRPr="00814BC2">
              <w:t xml:space="preserve"> housing. </w:t>
            </w:r>
          </w:p>
          <w:p w14:paraId="2B7048D0" w14:textId="31486767" w:rsidR="00547B28" w:rsidRPr="00E26B13" w:rsidRDefault="00547B28" w:rsidP="0005745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405CA" w14:paraId="144E30A7" w14:textId="77777777" w:rsidTr="00345119">
        <w:tc>
          <w:tcPr>
            <w:tcW w:w="9576" w:type="dxa"/>
          </w:tcPr>
          <w:p w14:paraId="3800DE6E" w14:textId="77777777" w:rsidR="0017725B" w:rsidRDefault="00A82067" w:rsidP="0005745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4620279" w14:textId="77777777" w:rsidR="0017725B" w:rsidRDefault="0017725B" w:rsidP="00057453">
            <w:pPr>
              <w:rPr>
                <w:b/>
                <w:u w:val="single"/>
              </w:rPr>
            </w:pPr>
          </w:p>
          <w:p w14:paraId="66FE3468" w14:textId="412D65C1" w:rsidR="00796276" w:rsidRPr="00796276" w:rsidRDefault="00A82067" w:rsidP="00057453">
            <w:pPr>
              <w:jc w:val="both"/>
            </w:pPr>
            <w:r>
              <w:t>It is the committee's opinion that this bill does not expressly create a criminal offense, increase the punishment for an existin</w:t>
            </w:r>
            <w:r>
              <w:t>g criminal offense or category of offenses, or change the eligibility of a person for community supervision, parole, or mandatory supervision.</w:t>
            </w:r>
          </w:p>
          <w:p w14:paraId="63176A19" w14:textId="77777777" w:rsidR="0017725B" w:rsidRPr="0017725B" w:rsidRDefault="0017725B" w:rsidP="00057453">
            <w:pPr>
              <w:rPr>
                <w:b/>
                <w:u w:val="single"/>
              </w:rPr>
            </w:pPr>
          </w:p>
        </w:tc>
      </w:tr>
      <w:tr w:rsidR="004405CA" w14:paraId="41AFFC5B" w14:textId="77777777" w:rsidTr="00345119">
        <w:tc>
          <w:tcPr>
            <w:tcW w:w="9576" w:type="dxa"/>
          </w:tcPr>
          <w:p w14:paraId="16AD3BE8" w14:textId="77777777" w:rsidR="008423E4" w:rsidRPr="00A8133F" w:rsidRDefault="00A82067" w:rsidP="0005745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EDFE077" w14:textId="77777777" w:rsidR="008423E4" w:rsidRDefault="008423E4" w:rsidP="00057453"/>
          <w:p w14:paraId="0394E6C7" w14:textId="026623CF" w:rsidR="00796276" w:rsidRDefault="00A82067" w:rsidP="000574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</w:t>
            </w:r>
            <w:r>
              <w:t>emaking authority to a state officer, department, agency, or institution.</w:t>
            </w:r>
          </w:p>
          <w:p w14:paraId="16A13662" w14:textId="77777777" w:rsidR="008423E4" w:rsidRPr="00E21FDC" w:rsidRDefault="008423E4" w:rsidP="00057453">
            <w:pPr>
              <w:rPr>
                <w:b/>
              </w:rPr>
            </w:pPr>
          </w:p>
        </w:tc>
      </w:tr>
      <w:tr w:rsidR="004405CA" w14:paraId="6C852D69" w14:textId="77777777" w:rsidTr="00345119">
        <w:tc>
          <w:tcPr>
            <w:tcW w:w="9576" w:type="dxa"/>
          </w:tcPr>
          <w:p w14:paraId="17711616" w14:textId="77777777" w:rsidR="008423E4" w:rsidRPr="00A8133F" w:rsidRDefault="00A82067" w:rsidP="0005745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8691A77" w14:textId="77777777" w:rsidR="008423E4" w:rsidRDefault="008423E4" w:rsidP="00057453"/>
          <w:p w14:paraId="23292438" w14:textId="5D8E7A72" w:rsidR="009C36CD" w:rsidRDefault="00A82067" w:rsidP="000574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3220 </w:t>
            </w:r>
            <w:r w:rsidR="00EB4622">
              <w:t xml:space="preserve">requires the </w:t>
            </w:r>
            <w:r w:rsidR="00EB4622" w:rsidRPr="00EB4622">
              <w:t>Texas Coordinating Council for Veterans Services</w:t>
            </w:r>
            <w:r w:rsidR="00EB4622">
              <w:t xml:space="preserve"> to </w:t>
            </w:r>
            <w:r w:rsidR="00EB4622" w:rsidRPr="00EB4622">
              <w:t>establish and oversee a workgroup to assess the feasibility of using surplus government property to provide housing to homeless veterans.</w:t>
            </w:r>
            <w:r w:rsidR="00D73667">
              <w:t xml:space="preserve"> The bill defines </w:t>
            </w:r>
            <w:r w:rsidR="00D71EDD" w:rsidRPr="00D71EDD">
              <w:t>"</w:t>
            </w:r>
            <w:r w:rsidR="00D71EDD">
              <w:t>s</w:t>
            </w:r>
            <w:r w:rsidR="00D71EDD" w:rsidRPr="00D71EDD">
              <w:t>urplus government property" as unused or underused federal, state, or local property, including real property, historic buildings, residential buildings, and commercial buildings.</w:t>
            </w:r>
            <w:r w:rsidR="00D71EDD">
              <w:t xml:space="preserve"> </w:t>
            </w:r>
            <w:r w:rsidR="00BA5C87">
              <w:t xml:space="preserve">The workgroup is composed of </w:t>
            </w:r>
            <w:r w:rsidR="00BA5C87" w:rsidRPr="00BA5C87">
              <w:t>the executive head of</w:t>
            </w:r>
            <w:r w:rsidR="00BA5C87">
              <w:t xml:space="preserve"> each of the following state agencies or that </w:t>
            </w:r>
            <w:r w:rsidR="00FB257A">
              <w:t xml:space="preserve">person's </w:t>
            </w:r>
            <w:r w:rsidR="00BA5C87">
              <w:t>designee:</w:t>
            </w:r>
          </w:p>
          <w:p w14:paraId="4523D00D" w14:textId="6496DB85" w:rsidR="00BA5C87" w:rsidRDefault="00A82067" w:rsidP="00547B2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A5C87">
              <w:t>the Texas Veterans Commission</w:t>
            </w:r>
            <w:r>
              <w:t>;</w:t>
            </w:r>
          </w:p>
          <w:p w14:paraId="0A707667" w14:textId="7A13BCA0" w:rsidR="00BA5C87" w:rsidRDefault="00A82067" w:rsidP="00547B2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A5C87">
              <w:t xml:space="preserve">the General Land </w:t>
            </w:r>
            <w:r w:rsidRPr="00BA5C87">
              <w:t>Office;</w:t>
            </w:r>
          </w:p>
          <w:p w14:paraId="62384DF8" w14:textId="73B653FC" w:rsidR="00BA5C87" w:rsidRDefault="00A82067" w:rsidP="00547B2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A5C87">
              <w:t>the Veterans' Land Board;</w:t>
            </w:r>
            <w:r>
              <w:t xml:space="preserve"> and</w:t>
            </w:r>
          </w:p>
          <w:p w14:paraId="34C0D013" w14:textId="629F9934" w:rsidR="00BA5C87" w:rsidRDefault="00A82067" w:rsidP="00547B2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A5C87">
              <w:t>the Texas Department of Housing and Community Affairs.</w:t>
            </w:r>
          </w:p>
          <w:p w14:paraId="1FC54798" w14:textId="3DFC4DB1" w:rsidR="00BA5C87" w:rsidRDefault="00A82067" w:rsidP="0005745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The </w:t>
            </w:r>
            <w:r w:rsidR="009C1B20">
              <w:t xml:space="preserve">bill authorizes the </w:t>
            </w:r>
            <w:r>
              <w:t xml:space="preserve">council </w:t>
            </w:r>
            <w:r w:rsidR="009C1B20">
              <w:t>to</w:t>
            </w:r>
            <w:r>
              <w:t xml:space="preserve"> include in the workgroup the executive head of any other state agency</w:t>
            </w:r>
            <w:r w:rsidR="009C1B20">
              <w:t>,</w:t>
            </w:r>
            <w:r>
              <w:t xml:space="preserve"> or that </w:t>
            </w:r>
            <w:r w:rsidR="005A04DE">
              <w:t xml:space="preserve">person's </w:t>
            </w:r>
            <w:r>
              <w:t xml:space="preserve">designee, by majority vote. </w:t>
            </w:r>
          </w:p>
          <w:p w14:paraId="23354C10" w14:textId="4EB3DA14" w:rsidR="00D71EDD" w:rsidRDefault="00D71EDD" w:rsidP="000574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4C20A0E" w14:textId="660865B0" w:rsidR="00D71EDD" w:rsidRDefault="00A82067" w:rsidP="000574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3220</w:t>
            </w:r>
            <w:r w:rsidR="00B21540">
              <w:t xml:space="preserve"> </w:t>
            </w:r>
            <w:r>
              <w:t>requires the workgroup to do the following in conducting the feasibility assessment:</w:t>
            </w:r>
          </w:p>
          <w:p w14:paraId="6F31B6CD" w14:textId="6B320FF0" w:rsidR="00796276" w:rsidRDefault="00A82067" w:rsidP="00547B2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71EDD">
              <w:t xml:space="preserve">evaluate the availability of surplus government property in </w:t>
            </w:r>
            <w:r w:rsidR="008E7579">
              <w:t>Texas</w:t>
            </w:r>
            <w:r w:rsidRPr="00D71EDD">
              <w:t xml:space="preserve"> and the feasibility of developing housing units on that property to provide housing to homeless veterans;</w:t>
            </w:r>
          </w:p>
          <w:p w14:paraId="0C20B333" w14:textId="1040F80B" w:rsidR="00E239C9" w:rsidRDefault="00A82067" w:rsidP="00547B2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71EDD">
              <w:t>identify veteran subpopulations that will most benefit from a program that facilitates</w:t>
            </w:r>
            <w:r w:rsidRPr="00562378">
              <w:t xml:space="preserve"> </w:t>
            </w:r>
            <w:r w:rsidR="00562378">
              <w:t xml:space="preserve">the </w:t>
            </w:r>
            <w:r w:rsidRPr="001E412E">
              <w:t>use or development</w:t>
            </w:r>
            <w:r w:rsidR="00562378">
              <w:t xml:space="preserve"> of </w:t>
            </w:r>
            <w:r w:rsidR="001E412E">
              <w:t>that</w:t>
            </w:r>
            <w:r w:rsidR="00562378">
              <w:t xml:space="preserve"> property for </w:t>
            </w:r>
            <w:r w:rsidR="00CE2521">
              <w:t>such housing</w:t>
            </w:r>
            <w:r>
              <w:t>; and</w:t>
            </w:r>
          </w:p>
          <w:p w14:paraId="24BC2425" w14:textId="3077F794" w:rsidR="00796276" w:rsidRDefault="00A82067" w:rsidP="00547B2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71EDD">
              <w:t>identify potential funding sources to develop housing units on surplus government property, including:</w:t>
            </w:r>
          </w:p>
          <w:p w14:paraId="499AB2D4" w14:textId="183F1F21" w:rsidR="00D71EDD" w:rsidRDefault="00A82067" w:rsidP="00547B28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71EDD">
              <w:t>fed</w:t>
            </w:r>
            <w:r w:rsidRPr="00D71EDD">
              <w:t>eral historic tax credits</w:t>
            </w:r>
            <w:r w:rsidR="00562378">
              <w:t xml:space="preserve"> or federal housing tax credits</w:t>
            </w:r>
            <w:r w:rsidRPr="00D71EDD">
              <w:t>;</w:t>
            </w:r>
            <w:r>
              <w:t xml:space="preserve"> </w:t>
            </w:r>
          </w:p>
          <w:p w14:paraId="69437962" w14:textId="77777777" w:rsidR="00D71EDD" w:rsidRDefault="00A82067" w:rsidP="00547B28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71EDD">
              <w:t>corporate and private donations;</w:t>
            </w:r>
            <w:r>
              <w:t xml:space="preserve"> </w:t>
            </w:r>
          </w:p>
          <w:p w14:paraId="2EE7181D" w14:textId="54E5D7DE" w:rsidR="00D71EDD" w:rsidRDefault="00A82067" w:rsidP="00547B28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71EDD">
              <w:t xml:space="preserve">other existing state and federal funding sources; </w:t>
            </w:r>
            <w:r w:rsidR="008E7579">
              <w:t>and</w:t>
            </w:r>
          </w:p>
          <w:p w14:paraId="60149E14" w14:textId="21435284" w:rsidR="00D71EDD" w:rsidRDefault="00A82067" w:rsidP="00547B28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71EDD">
              <w:t>proposed tenant rent payments</w:t>
            </w:r>
            <w:r w:rsidR="00E239C9">
              <w:t>.</w:t>
            </w:r>
          </w:p>
          <w:p w14:paraId="41C9621A" w14:textId="52C1477B" w:rsidR="00796276" w:rsidRDefault="00796276" w:rsidP="000574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B21E4CC" w14:textId="65F7002B" w:rsidR="00B21540" w:rsidRDefault="00A82067" w:rsidP="000574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3220 authorizes the workgroup</w:t>
            </w:r>
            <w:r w:rsidR="009C1B20">
              <w:t>,</w:t>
            </w:r>
            <w:r>
              <w:t xml:space="preserve"> </w:t>
            </w:r>
            <w:r w:rsidR="006B1F50">
              <w:t>in conducting the assessment</w:t>
            </w:r>
            <w:r w:rsidR="009C1B20">
              <w:t>,</w:t>
            </w:r>
            <w:r w:rsidR="006B1F50">
              <w:t xml:space="preserve"> </w:t>
            </w:r>
            <w:r>
              <w:t xml:space="preserve">to </w:t>
            </w:r>
            <w:r w:rsidRPr="00B21540">
              <w:t xml:space="preserve">consult </w:t>
            </w:r>
            <w:r w:rsidRPr="00B21540">
              <w:t>with</w:t>
            </w:r>
            <w:r>
              <w:t xml:space="preserve"> </w:t>
            </w:r>
            <w:r w:rsidRPr="00B21540">
              <w:t>local housing authorities</w:t>
            </w:r>
            <w:r>
              <w:t xml:space="preserve">, </w:t>
            </w:r>
            <w:r w:rsidRPr="00B21540">
              <w:t>affordable housing developers</w:t>
            </w:r>
            <w:r>
              <w:t xml:space="preserve">, and </w:t>
            </w:r>
            <w:r w:rsidRPr="00B21540">
              <w:t>organizations and persons with appropriate and relevant expertise on the housing needs of veterans.</w:t>
            </w:r>
            <w:r>
              <w:t xml:space="preserve"> The bill requires the workgroup</w:t>
            </w:r>
            <w:r w:rsidR="006B1F50">
              <w:t>,</w:t>
            </w:r>
            <w:r>
              <w:t xml:space="preserve"> not later </w:t>
            </w:r>
            <w:r w:rsidRPr="00B21540">
              <w:t xml:space="preserve">than November 1, </w:t>
            </w:r>
            <w:r w:rsidR="00027638" w:rsidRPr="00B21540">
              <w:t>2024,</w:t>
            </w:r>
            <w:r>
              <w:t xml:space="preserve"> to </w:t>
            </w:r>
            <w:r w:rsidRPr="00B21540">
              <w:t xml:space="preserve">prepare and submit </w:t>
            </w:r>
            <w:r w:rsidR="00027638" w:rsidRPr="00027638">
              <w:t xml:space="preserve">a written report </w:t>
            </w:r>
            <w:r w:rsidRPr="00B21540">
              <w:t>to the legislature summarizing the results of the assessment.</w:t>
            </w:r>
            <w:r w:rsidR="00027638">
              <w:t xml:space="preserve"> </w:t>
            </w:r>
            <w:r w:rsidR="00027638" w:rsidRPr="00027638">
              <w:t>The bill's provisions expire</w:t>
            </w:r>
            <w:r w:rsidR="00027638">
              <w:t xml:space="preserve"> </w:t>
            </w:r>
            <w:r w:rsidR="00027638" w:rsidRPr="00027638">
              <w:t>September 1, 2025.</w:t>
            </w:r>
          </w:p>
          <w:p w14:paraId="7C5F3BC7" w14:textId="77777777" w:rsidR="008423E4" w:rsidRPr="00835628" w:rsidRDefault="008423E4" w:rsidP="00057453">
            <w:pPr>
              <w:rPr>
                <w:b/>
              </w:rPr>
            </w:pPr>
          </w:p>
        </w:tc>
      </w:tr>
      <w:tr w:rsidR="004405CA" w14:paraId="3303F84D" w14:textId="77777777" w:rsidTr="00345119">
        <w:tc>
          <w:tcPr>
            <w:tcW w:w="9576" w:type="dxa"/>
          </w:tcPr>
          <w:p w14:paraId="4C2C198B" w14:textId="77777777" w:rsidR="008423E4" w:rsidRPr="00A8133F" w:rsidRDefault="00A82067" w:rsidP="0005745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2DCC1D6" w14:textId="77777777" w:rsidR="008423E4" w:rsidRDefault="008423E4" w:rsidP="00057453"/>
          <w:p w14:paraId="7A050E7F" w14:textId="18FE75C8" w:rsidR="008423E4" w:rsidRPr="003624F2" w:rsidRDefault="00A82067" w:rsidP="000574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F0A2396" w14:textId="77777777" w:rsidR="008423E4" w:rsidRPr="00233FDB" w:rsidRDefault="008423E4" w:rsidP="00057453">
            <w:pPr>
              <w:rPr>
                <w:b/>
              </w:rPr>
            </w:pPr>
          </w:p>
        </w:tc>
      </w:tr>
    </w:tbl>
    <w:p w14:paraId="3A596E66" w14:textId="77777777" w:rsidR="008423E4" w:rsidRPr="00BE0E75" w:rsidRDefault="008423E4" w:rsidP="00057453">
      <w:pPr>
        <w:jc w:val="both"/>
        <w:rPr>
          <w:rFonts w:ascii="Arial" w:hAnsi="Arial"/>
          <w:sz w:val="16"/>
          <w:szCs w:val="16"/>
        </w:rPr>
      </w:pPr>
    </w:p>
    <w:p w14:paraId="13ED2363" w14:textId="77777777" w:rsidR="004108C3" w:rsidRPr="008423E4" w:rsidRDefault="004108C3" w:rsidP="0005745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1168" w14:textId="77777777" w:rsidR="00000000" w:rsidRDefault="00A82067">
      <w:r>
        <w:separator/>
      </w:r>
    </w:p>
  </w:endnote>
  <w:endnote w:type="continuationSeparator" w:id="0">
    <w:p w14:paraId="1F74C046" w14:textId="77777777" w:rsidR="00000000" w:rsidRDefault="00A8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734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405CA" w14:paraId="07273AE6" w14:textId="77777777" w:rsidTr="009C1E9A">
      <w:trPr>
        <w:cantSplit/>
      </w:trPr>
      <w:tc>
        <w:tcPr>
          <w:tcW w:w="0" w:type="pct"/>
        </w:tcPr>
        <w:p w14:paraId="3231BC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1429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76EB4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2DC9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D8BCC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05CA" w14:paraId="5087DBB0" w14:textId="77777777" w:rsidTr="009C1E9A">
      <w:trPr>
        <w:cantSplit/>
      </w:trPr>
      <w:tc>
        <w:tcPr>
          <w:tcW w:w="0" w:type="pct"/>
        </w:tcPr>
        <w:p w14:paraId="070B2AE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798CE0" w14:textId="68CBD8DD" w:rsidR="00EC379B" w:rsidRPr="009C1E9A" w:rsidRDefault="00A8206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23916-D</w:t>
          </w:r>
        </w:p>
      </w:tc>
      <w:tc>
        <w:tcPr>
          <w:tcW w:w="2453" w:type="pct"/>
        </w:tcPr>
        <w:p w14:paraId="1C1E469E" w14:textId="416141FC" w:rsidR="00EC379B" w:rsidRDefault="00A8206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E10E8">
            <w:t>23.106.612</w:t>
          </w:r>
          <w:r>
            <w:fldChar w:fldCharType="end"/>
          </w:r>
        </w:p>
      </w:tc>
    </w:tr>
    <w:tr w:rsidR="004405CA" w14:paraId="7F91AB61" w14:textId="77777777" w:rsidTr="009C1E9A">
      <w:trPr>
        <w:cantSplit/>
      </w:trPr>
      <w:tc>
        <w:tcPr>
          <w:tcW w:w="0" w:type="pct"/>
        </w:tcPr>
        <w:p w14:paraId="0703C2F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65A160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90CD8A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CE02FA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05CA" w14:paraId="7BEE5EB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2689689" w14:textId="77777777" w:rsidR="00EC379B" w:rsidRDefault="00A8206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163C7A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2B4ED5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156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1680" w14:textId="77777777" w:rsidR="00000000" w:rsidRDefault="00A82067">
      <w:r>
        <w:separator/>
      </w:r>
    </w:p>
  </w:footnote>
  <w:footnote w:type="continuationSeparator" w:id="0">
    <w:p w14:paraId="7B2D7789" w14:textId="77777777" w:rsidR="00000000" w:rsidRDefault="00A8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0F2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A7F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4AD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A4802"/>
    <w:multiLevelType w:val="hybridMultilevel"/>
    <w:tmpl w:val="674E84D6"/>
    <w:lvl w:ilvl="0" w:tplc="DC66D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961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85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C1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8A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F87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62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24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48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70E2F"/>
    <w:multiLevelType w:val="hybridMultilevel"/>
    <w:tmpl w:val="F41EAEEC"/>
    <w:lvl w:ilvl="0" w:tplc="031451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4734E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282E1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7A6E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12E84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85025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C6ED35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AFC4A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102DB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D73BD7"/>
    <w:multiLevelType w:val="hybridMultilevel"/>
    <w:tmpl w:val="F172471E"/>
    <w:lvl w:ilvl="0" w:tplc="D610C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CE5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A61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C7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0E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D86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0E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0E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CEE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32F72"/>
    <w:multiLevelType w:val="hybridMultilevel"/>
    <w:tmpl w:val="CBA61A2A"/>
    <w:lvl w:ilvl="0" w:tplc="C2360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E2E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06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E0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C1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A22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01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2D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AA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7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B92"/>
    <w:rsid w:val="000236C1"/>
    <w:rsid w:val="000236EC"/>
    <w:rsid w:val="0002413D"/>
    <w:rsid w:val="000249F2"/>
    <w:rsid w:val="00027638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453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1B0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1DE"/>
    <w:rsid w:val="001E2CAD"/>
    <w:rsid w:val="001E34DB"/>
    <w:rsid w:val="001E37CD"/>
    <w:rsid w:val="001E4070"/>
    <w:rsid w:val="001E412E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4903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4017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0B14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5CA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171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B28"/>
    <w:rsid w:val="00551CA6"/>
    <w:rsid w:val="00555034"/>
    <w:rsid w:val="005570D2"/>
    <w:rsid w:val="00561528"/>
    <w:rsid w:val="0056153F"/>
    <w:rsid w:val="00561B14"/>
    <w:rsid w:val="00562378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4DE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2EB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1E8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761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1F50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276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4BC2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0AAA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7579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8CA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B20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987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2658"/>
    <w:rsid w:val="00A6344D"/>
    <w:rsid w:val="00A644B8"/>
    <w:rsid w:val="00A70E35"/>
    <w:rsid w:val="00A720DC"/>
    <w:rsid w:val="00A803CF"/>
    <w:rsid w:val="00A8133F"/>
    <w:rsid w:val="00A82067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669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574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540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C87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0E8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293D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613"/>
    <w:rsid w:val="00CD4F2C"/>
    <w:rsid w:val="00CD731C"/>
    <w:rsid w:val="00CE08E8"/>
    <w:rsid w:val="00CE2133"/>
    <w:rsid w:val="00CE245D"/>
    <w:rsid w:val="00CE2521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EDD"/>
    <w:rsid w:val="00D730FA"/>
    <w:rsid w:val="00D73667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2AE"/>
    <w:rsid w:val="00DD1B8F"/>
    <w:rsid w:val="00DD562C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9C9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370"/>
    <w:rsid w:val="00EA7A88"/>
    <w:rsid w:val="00EB27F2"/>
    <w:rsid w:val="00EB3928"/>
    <w:rsid w:val="00EB4622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2C10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57A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0B5DEF-0149-4CDE-9ACC-C18404DB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962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6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62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6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6276"/>
    <w:rPr>
      <w:b/>
      <w:bCs/>
    </w:rPr>
  </w:style>
  <w:style w:type="paragraph" w:styleId="Revision">
    <w:name w:val="Revision"/>
    <w:hidden/>
    <w:uiPriority w:val="99"/>
    <w:semiHidden/>
    <w:rsid w:val="00EA7370"/>
    <w:rPr>
      <w:sz w:val="24"/>
      <w:szCs w:val="24"/>
    </w:rPr>
  </w:style>
  <w:style w:type="character" w:styleId="Hyperlink">
    <w:name w:val="Hyperlink"/>
    <w:basedOn w:val="DefaultParagraphFont"/>
    <w:unhideWhenUsed/>
    <w:rsid w:val="008E757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5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E75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3016</Characters>
  <Application>Microsoft Office Word</Application>
  <DocSecurity>4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HB03220 (Committee Report (Unamended))</vt:lpstr>
    </vt:vector>
  </TitlesOfParts>
  <Company>State of Texas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23916</dc:subject>
  <dc:creator>State of Texas</dc:creator>
  <dc:description>HB 3220 by Garcia-(H)Defense &amp; Veterans' Affairs</dc:description>
  <cp:lastModifiedBy>Matthew Lee</cp:lastModifiedBy>
  <cp:revision>2</cp:revision>
  <cp:lastPrinted>2003-11-26T17:21:00Z</cp:lastPrinted>
  <dcterms:created xsi:type="dcterms:W3CDTF">2023-04-17T22:47:00Z</dcterms:created>
  <dcterms:modified xsi:type="dcterms:W3CDTF">2023-04-17T22:47:00Z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23.106.612</vt:lpwstr>
  </property>
</Properties>
</file>