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55C82" w14:paraId="3190EDF3" w14:textId="77777777" w:rsidTr="00345119">
        <w:tc>
          <w:tcPr>
            <w:tcW w:w="9576" w:type="dxa"/>
            <w:noWrap/>
          </w:tcPr>
          <w:p w14:paraId="189BF19E" w14:textId="77777777" w:rsidR="008423E4" w:rsidRPr="0022177D" w:rsidRDefault="006A75B7" w:rsidP="00F54D5B">
            <w:pPr>
              <w:pStyle w:val="Heading1"/>
            </w:pPr>
            <w:r w:rsidRPr="00631897">
              <w:t>BILL ANALYSIS</w:t>
            </w:r>
          </w:p>
        </w:tc>
      </w:tr>
    </w:tbl>
    <w:p w14:paraId="20055BEB" w14:textId="77777777" w:rsidR="008423E4" w:rsidRPr="0022177D" w:rsidRDefault="008423E4" w:rsidP="00F54D5B">
      <w:pPr>
        <w:jc w:val="center"/>
      </w:pPr>
    </w:p>
    <w:p w14:paraId="08A41BA5" w14:textId="77777777" w:rsidR="008423E4" w:rsidRPr="00B31F0E" w:rsidRDefault="008423E4" w:rsidP="00F54D5B"/>
    <w:p w14:paraId="1AC5312E" w14:textId="77777777" w:rsidR="008423E4" w:rsidRPr="00742794" w:rsidRDefault="008423E4" w:rsidP="00F54D5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55C82" w14:paraId="05DEF04A" w14:textId="77777777" w:rsidTr="00345119">
        <w:tc>
          <w:tcPr>
            <w:tcW w:w="9576" w:type="dxa"/>
          </w:tcPr>
          <w:p w14:paraId="19FC79F2" w14:textId="45BA5807" w:rsidR="008423E4" w:rsidRPr="00861995" w:rsidRDefault="006A75B7" w:rsidP="00F54D5B">
            <w:pPr>
              <w:jc w:val="right"/>
            </w:pPr>
            <w:r>
              <w:t>C.S.H.B. 3244</w:t>
            </w:r>
          </w:p>
        </w:tc>
      </w:tr>
      <w:tr w:rsidR="00E55C82" w14:paraId="3F4B7DB4" w14:textId="77777777" w:rsidTr="00345119">
        <w:tc>
          <w:tcPr>
            <w:tcW w:w="9576" w:type="dxa"/>
          </w:tcPr>
          <w:p w14:paraId="54B50346" w14:textId="7D40E2EF" w:rsidR="008423E4" w:rsidRPr="00861995" w:rsidRDefault="006A75B7" w:rsidP="00F54D5B">
            <w:pPr>
              <w:jc w:val="right"/>
            </w:pPr>
            <w:r>
              <w:t xml:space="preserve">By: </w:t>
            </w:r>
            <w:r w:rsidR="00AA3A23">
              <w:t>Goldman</w:t>
            </w:r>
          </w:p>
        </w:tc>
      </w:tr>
      <w:tr w:rsidR="00E55C82" w14:paraId="139B4787" w14:textId="77777777" w:rsidTr="00345119">
        <w:tc>
          <w:tcPr>
            <w:tcW w:w="9576" w:type="dxa"/>
          </w:tcPr>
          <w:p w14:paraId="4E224419" w14:textId="5C5D0EEF" w:rsidR="008423E4" w:rsidRPr="00861995" w:rsidRDefault="006A75B7" w:rsidP="00F54D5B">
            <w:pPr>
              <w:jc w:val="right"/>
            </w:pPr>
            <w:r>
              <w:t>Energy Resources</w:t>
            </w:r>
          </w:p>
        </w:tc>
      </w:tr>
      <w:tr w:rsidR="00E55C82" w14:paraId="5ED4660B" w14:textId="77777777" w:rsidTr="00345119">
        <w:tc>
          <w:tcPr>
            <w:tcW w:w="9576" w:type="dxa"/>
          </w:tcPr>
          <w:p w14:paraId="4713D4B8" w14:textId="46E2801C" w:rsidR="008423E4" w:rsidRDefault="006A75B7" w:rsidP="00F54D5B">
            <w:pPr>
              <w:jc w:val="right"/>
            </w:pPr>
            <w:r>
              <w:t>Committee Report (Substituted)</w:t>
            </w:r>
          </w:p>
        </w:tc>
      </w:tr>
    </w:tbl>
    <w:p w14:paraId="155B8D9D" w14:textId="77777777" w:rsidR="008423E4" w:rsidRDefault="008423E4" w:rsidP="00F54D5B">
      <w:pPr>
        <w:tabs>
          <w:tab w:val="right" w:pos="9360"/>
        </w:tabs>
      </w:pPr>
    </w:p>
    <w:p w14:paraId="74547CCD" w14:textId="77777777" w:rsidR="008423E4" w:rsidRDefault="008423E4" w:rsidP="00F54D5B"/>
    <w:p w14:paraId="6844AA39" w14:textId="77777777" w:rsidR="008423E4" w:rsidRDefault="008423E4" w:rsidP="00F54D5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55C82" w14:paraId="384A81EE" w14:textId="77777777" w:rsidTr="00345119">
        <w:tc>
          <w:tcPr>
            <w:tcW w:w="9576" w:type="dxa"/>
          </w:tcPr>
          <w:p w14:paraId="2D434053" w14:textId="77777777" w:rsidR="008423E4" w:rsidRPr="00A8133F" w:rsidRDefault="006A75B7" w:rsidP="00F54D5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8076E0C" w14:textId="77777777" w:rsidR="008423E4" w:rsidRDefault="008423E4" w:rsidP="00F54D5B"/>
          <w:p w14:paraId="20157730" w14:textId="5DF5A343" w:rsidR="008423E4" w:rsidRDefault="006A75B7" w:rsidP="00F54D5B">
            <w:pPr>
              <w:pStyle w:val="Header"/>
              <w:jc w:val="both"/>
            </w:pPr>
            <w:r>
              <w:t xml:space="preserve">During the 87th </w:t>
            </w:r>
            <w:r w:rsidR="00AF5674">
              <w:t xml:space="preserve">Regular </w:t>
            </w:r>
            <w:r>
              <w:t xml:space="preserve">Session, the </w:t>
            </w:r>
            <w:r w:rsidR="00AF5674">
              <w:t>l</w:t>
            </w:r>
            <w:r>
              <w:t>egislature passed S</w:t>
            </w:r>
            <w:r w:rsidR="00AF5674">
              <w:t>.</w:t>
            </w:r>
            <w:r>
              <w:t>B</w:t>
            </w:r>
            <w:r w:rsidR="00AF5674">
              <w:t>.</w:t>
            </w:r>
            <w:r>
              <w:t xml:space="preserve"> 3 to improve the reliability of the </w:t>
            </w:r>
            <w:r w:rsidR="009864D6">
              <w:t>state's</w:t>
            </w:r>
            <w:r>
              <w:t xml:space="preserve"> electric grid. Among other important things, the legislation directed the Railroad Commission</w:t>
            </w:r>
            <w:r w:rsidR="00AF5674">
              <w:t xml:space="preserve"> of Texas</w:t>
            </w:r>
            <w:r>
              <w:t xml:space="preserve"> (RRC) to adopt rules designating certain oil and gas facilities with the most impact on electric power gener</w:t>
            </w:r>
            <w:r>
              <w:t>ation</w:t>
            </w:r>
            <w:r w:rsidR="00AF5674">
              <w:t xml:space="preserve"> as critical</w:t>
            </w:r>
            <w:r w:rsidR="00D953DC">
              <w:t xml:space="preserve"> during an energy emergency</w:t>
            </w:r>
            <w:r w:rsidR="009864D6">
              <w:t xml:space="preserve"> and</w:t>
            </w:r>
            <w:r w:rsidR="00D953DC">
              <w:t xml:space="preserve"> </w:t>
            </w:r>
            <w:r>
              <w:t>rules requiring the energy industry to weatherize facilities</w:t>
            </w:r>
            <w:r w:rsidR="00D953DC">
              <w:t xml:space="preserve"> that are </w:t>
            </w:r>
            <w:r>
              <w:t>designated as critical and included on the state</w:t>
            </w:r>
            <w:r w:rsidR="009A6467">
              <w:t>'</w:t>
            </w:r>
            <w:r>
              <w:t>s electricity supply chain map</w:t>
            </w:r>
            <w:r w:rsidR="00D953DC">
              <w:t>.</w:t>
            </w:r>
            <w:r w:rsidR="009864D6">
              <w:t xml:space="preserve"> </w:t>
            </w:r>
            <w:r>
              <w:t xml:space="preserve">Under current </w:t>
            </w:r>
            <w:r w:rsidR="00D953DC">
              <w:t xml:space="preserve">rules of the </w:t>
            </w:r>
            <w:r>
              <w:t>Public Utilit</w:t>
            </w:r>
            <w:r w:rsidR="00D953DC">
              <w:t>y</w:t>
            </w:r>
            <w:r>
              <w:t xml:space="preserve"> Commission</w:t>
            </w:r>
            <w:r w:rsidR="00D953DC">
              <w:t xml:space="preserve"> of Texas</w:t>
            </w:r>
            <w:r w:rsidR="008433E1">
              <w:t xml:space="preserve"> (PUC)</w:t>
            </w:r>
            <w:r>
              <w:t>, a facility designated as critical by the RRC is ineligible to participate in ERCOT</w:t>
            </w:r>
            <w:r w:rsidR="009A6467">
              <w:t>'</w:t>
            </w:r>
            <w:r>
              <w:t xml:space="preserve">s </w:t>
            </w:r>
            <w:r w:rsidR="00D953DC">
              <w:t>l</w:t>
            </w:r>
            <w:r>
              <w:t xml:space="preserve">oad </w:t>
            </w:r>
            <w:r w:rsidR="00D953DC">
              <w:t>r</w:t>
            </w:r>
            <w:r>
              <w:t xml:space="preserve">esource </w:t>
            </w:r>
            <w:r w:rsidR="00D953DC">
              <w:t>p</w:t>
            </w:r>
            <w:r>
              <w:t>rogram</w:t>
            </w:r>
            <w:r w:rsidR="00D953DC">
              <w:t>, which is</w:t>
            </w:r>
            <w:r>
              <w:t xml:space="preserve"> a long</w:t>
            </w:r>
            <w:r w:rsidR="009A6467">
              <w:t>-</w:t>
            </w:r>
            <w:r>
              <w:t>standing tool used by ERCOT to manage the electric grid. The program allows ERCOT to shut</w:t>
            </w:r>
            <w:r w:rsidR="00D953DC">
              <w:t xml:space="preserve"> </w:t>
            </w:r>
            <w:r>
              <w:t>off power to large energy con</w:t>
            </w:r>
            <w:r>
              <w:t>sumers, enabling that power to be dispatched to higher</w:t>
            </w:r>
            <w:r w:rsidR="009864D6">
              <w:t xml:space="preserve"> </w:t>
            </w:r>
            <w:r>
              <w:t xml:space="preserve">priority facilities. Per ERCOT, in the ERCOT markets, the value of a </w:t>
            </w:r>
            <w:r w:rsidR="009864D6">
              <w:t>l</w:t>
            </w:r>
            <w:r>
              <w:t xml:space="preserve">oad </w:t>
            </w:r>
            <w:r w:rsidR="009864D6">
              <w:t>r</w:t>
            </w:r>
            <w:r>
              <w:t>esource</w:t>
            </w:r>
            <w:r w:rsidR="009A6467">
              <w:t>'</w:t>
            </w:r>
            <w:r>
              <w:t xml:space="preserve">s load reduction is equal to that of an increase in generation by a generating plant. </w:t>
            </w:r>
            <w:r w:rsidR="00B94945">
              <w:t xml:space="preserve">C.S.H.B. 3244 seeks to provide for </w:t>
            </w:r>
            <w:r>
              <w:t xml:space="preserve">critical facilities </w:t>
            </w:r>
            <w:r w:rsidR="00B94945">
              <w:t xml:space="preserve">to </w:t>
            </w:r>
            <w:r>
              <w:t xml:space="preserve">become eligible to participate in the </w:t>
            </w:r>
            <w:r w:rsidR="00B94945">
              <w:t>l</w:t>
            </w:r>
            <w:r>
              <w:t xml:space="preserve">oad </w:t>
            </w:r>
            <w:r w:rsidR="00B94945">
              <w:t>r</w:t>
            </w:r>
            <w:r>
              <w:t xml:space="preserve">esource </w:t>
            </w:r>
            <w:r w:rsidR="00B94945">
              <w:t>p</w:t>
            </w:r>
            <w:r>
              <w:t>rogram</w:t>
            </w:r>
            <w:r w:rsidR="00B94945">
              <w:t xml:space="preserve"> by</w:t>
            </w:r>
            <w:r w:rsidR="009864D6">
              <w:t>,</w:t>
            </w:r>
            <w:r w:rsidR="00B94945">
              <w:t xml:space="preserve"> </w:t>
            </w:r>
            <w:r w:rsidR="008433E1">
              <w:t xml:space="preserve">among other things, </w:t>
            </w:r>
            <w:r w:rsidR="008433E1" w:rsidRPr="008433E1">
              <w:t>requir</w:t>
            </w:r>
            <w:r w:rsidR="008433E1">
              <w:t>ing</w:t>
            </w:r>
            <w:r w:rsidR="008433E1" w:rsidRPr="008433E1">
              <w:t xml:space="preserve"> the </w:t>
            </w:r>
            <w:r w:rsidR="008433E1">
              <w:t>PUC</w:t>
            </w:r>
            <w:r w:rsidR="008433E1" w:rsidRPr="008433E1">
              <w:t xml:space="preserve"> to collaborate with the RRC to adopt rules to allow a gas supply chain facility that is not included on the electricity supply chain map to serve as a load resource or an emergency response resource</w:t>
            </w:r>
            <w:r>
              <w:t xml:space="preserve">.  </w:t>
            </w:r>
          </w:p>
          <w:p w14:paraId="728A2215" w14:textId="77777777" w:rsidR="008423E4" w:rsidRPr="00E26B13" w:rsidRDefault="008423E4" w:rsidP="00F54D5B">
            <w:pPr>
              <w:rPr>
                <w:b/>
              </w:rPr>
            </w:pPr>
          </w:p>
        </w:tc>
      </w:tr>
      <w:tr w:rsidR="00E55C82" w14:paraId="19CAE1F3" w14:textId="77777777" w:rsidTr="00345119">
        <w:tc>
          <w:tcPr>
            <w:tcW w:w="9576" w:type="dxa"/>
          </w:tcPr>
          <w:p w14:paraId="1D675C82" w14:textId="77777777" w:rsidR="0017725B" w:rsidRDefault="006A75B7" w:rsidP="00F54D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CRIMINAL JUSTICE </w:t>
            </w:r>
            <w:r w:rsidRPr="005B2D88">
              <w:rPr>
                <w:b/>
                <w:u w:val="single"/>
              </w:rPr>
              <w:t>IMPACT</w:t>
            </w:r>
          </w:p>
          <w:p w14:paraId="2154A0EC" w14:textId="77777777" w:rsidR="0017725B" w:rsidRDefault="0017725B" w:rsidP="00F54D5B">
            <w:pPr>
              <w:rPr>
                <w:b/>
                <w:u w:val="single"/>
              </w:rPr>
            </w:pPr>
          </w:p>
          <w:p w14:paraId="7361426B" w14:textId="753E0638" w:rsidR="00421891" w:rsidRPr="00421891" w:rsidRDefault="006A75B7" w:rsidP="00F54D5B">
            <w:pPr>
              <w:jc w:val="both"/>
            </w:pPr>
            <w:r>
              <w:t>It is the committee's opinion that th</w:t>
            </w:r>
            <w:r>
              <w:t>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8993D21" w14:textId="77777777" w:rsidR="0017725B" w:rsidRPr="0017725B" w:rsidRDefault="0017725B" w:rsidP="00F54D5B">
            <w:pPr>
              <w:rPr>
                <w:b/>
                <w:u w:val="single"/>
              </w:rPr>
            </w:pPr>
          </w:p>
        </w:tc>
      </w:tr>
      <w:tr w:rsidR="00E55C82" w14:paraId="417A70D9" w14:textId="77777777" w:rsidTr="00345119">
        <w:tc>
          <w:tcPr>
            <w:tcW w:w="9576" w:type="dxa"/>
          </w:tcPr>
          <w:p w14:paraId="174ADB48" w14:textId="77777777" w:rsidR="008423E4" w:rsidRPr="00A8133F" w:rsidRDefault="006A75B7" w:rsidP="00F54D5B">
            <w:pPr>
              <w:rPr>
                <w:b/>
              </w:rPr>
            </w:pPr>
            <w:r w:rsidRPr="009C1E9A">
              <w:rPr>
                <w:b/>
                <w:u w:val="single"/>
              </w:rPr>
              <w:t xml:space="preserve">RULEMAKING </w:t>
            </w:r>
            <w:r w:rsidRPr="005B2D88">
              <w:rPr>
                <w:b/>
                <w:u w:val="single"/>
              </w:rPr>
              <w:t>AUTHORIT</w:t>
            </w:r>
            <w:r w:rsidRPr="005B2D88">
              <w:rPr>
                <w:b/>
                <w:u w:val="single"/>
              </w:rPr>
              <w:t>Y</w:t>
            </w:r>
            <w:r w:rsidRPr="005B2D88">
              <w:rPr>
                <w:b/>
              </w:rPr>
              <w:t xml:space="preserve"> </w:t>
            </w:r>
          </w:p>
          <w:p w14:paraId="77053B14" w14:textId="77777777" w:rsidR="00421891" w:rsidRDefault="00421891" w:rsidP="00F54D5B">
            <w:pPr>
              <w:rPr>
                <w:bCs/>
              </w:rPr>
            </w:pPr>
          </w:p>
          <w:p w14:paraId="29D461EA" w14:textId="7EBC1988" w:rsidR="00D40EA7" w:rsidRDefault="006A75B7" w:rsidP="00F54D5B">
            <w:pPr>
              <w:jc w:val="both"/>
              <w:rPr>
                <w:bCs/>
              </w:rPr>
            </w:pPr>
            <w:r>
              <w:rPr>
                <w:bCs/>
              </w:rPr>
              <w:t xml:space="preserve">It is the committee's opinion that rulemaking authority is expressly granted to the </w:t>
            </w:r>
            <w:r w:rsidRPr="00D40EA7">
              <w:rPr>
                <w:bCs/>
              </w:rPr>
              <w:t>Public Utility Commission of Texas</w:t>
            </w:r>
            <w:r>
              <w:rPr>
                <w:bCs/>
              </w:rPr>
              <w:t xml:space="preserve"> in </w:t>
            </w:r>
            <w:r w:rsidR="005B2D88" w:rsidRPr="005B2D88">
              <w:rPr>
                <w:bCs/>
              </w:rPr>
              <w:t>SECTION 7</w:t>
            </w:r>
            <w:r>
              <w:rPr>
                <w:bCs/>
              </w:rPr>
              <w:t xml:space="preserve"> of this bill.</w:t>
            </w:r>
          </w:p>
          <w:p w14:paraId="35B37ACA" w14:textId="254E39C6" w:rsidR="00421891" w:rsidRPr="00421891" w:rsidRDefault="00421891" w:rsidP="00F54D5B">
            <w:pPr>
              <w:rPr>
                <w:bCs/>
              </w:rPr>
            </w:pPr>
          </w:p>
        </w:tc>
      </w:tr>
      <w:tr w:rsidR="00E55C82" w14:paraId="6A9B543D" w14:textId="77777777" w:rsidTr="00345119">
        <w:tc>
          <w:tcPr>
            <w:tcW w:w="9576" w:type="dxa"/>
          </w:tcPr>
          <w:p w14:paraId="11480A07" w14:textId="77777777" w:rsidR="008423E4" w:rsidRPr="00A8133F" w:rsidRDefault="006A75B7" w:rsidP="00F54D5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3B5762D" w14:textId="77777777" w:rsidR="008423E4" w:rsidRDefault="008423E4" w:rsidP="00F54D5B"/>
          <w:p w14:paraId="3709ACB8" w14:textId="6E05E550" w:rsidR="00EE2BE1" w:rsidRDefault="006A75B7" w:rsidP="00F54D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3244 amends the </w:t>
            </w:r>
            <w:r w:rsidRPr="00C16FC2">
              <w:t>Natural Resources Code</w:t>
            </w:r>
            <w:r>
              <w:t xml:space="preserve">, with regard to rules of the </w:t>
            </w:r>
            <w:r w:rsidRPr="00C16FC2">
              <w:t xml:space="preserve">Railroad </w:t>
            </w:r>
            <w:r w:rsidRPr="00C16FC2">
              <w:t>Commission of Texas</w:t>
            </w:r>
            <w:r>
              <w:t xml:space="preserve"> (RRC) that </w:t>
            </w:r>
            <w:r w:rsidRPr="00C16FC2">
              <w:t xml:space="preserve">establish a process to designate certain natural gas facilities and entities associated with providing natural gas in </w:t>
            </w:r>
            <w:r>
              <w:t>Texas</w:t>
            </w:r>
            <w:r w:rsidRPr="00C16FC2">
              <w:t xml:space="preserve"> as critical customers or critical gas suppliers during energy emergencies</w:t>
            </w:r>
            <w:r>
              <w:t xml:space="preserve">, to remove the requirement </w:t>
            </w:r>
            <w:r>
              <w:t xml:space="preserve">that the rules </w:t>
            </w:r>
            <w:r w:rsidRPr="00C16FC2">
              <w:t>require that only facilities and entities that are prepared to operate during a weather emergency may be designated as a critical customer</w:t>
            </w:r>
            <w:r>
              <w:t xml:space="preserve">. </w:t>
            </w:r>
          </w:p>
          <w:p w14:paraId="0933D761" w14:textId="77777777" w:rsidR="00EE2BE1" w:rsidRDefault="00EE2BE1" w:rsidP="00F54D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4DA511F" w14:textId="0F8B6301" w:rsidR="00EE2BE1" w:rsidRDefault="006A75B7" w:rsidP="00F54D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9257BF">
              <w:t>H.B. 3244</w:t>
            </w:r>
            <w:r>
              <w:t xml:space="preserve"> changes the entity who, under RRC rule, must assess the</w:t>
            </w:r>
            <w:r w:rsidRPr="00C32047">
              <w:t xml:space="preserve"> weatherization plans, procedu</w:t>
            </w:r>
            <w:r w:rsidRPr="00C32047">
              <w:t>res, and operations</w:t>
            </w:r>
            <w:r>
              <w:t xml:space="preserve"> of </w:t>
            </w:r>
            <w:r w:rsidRPr="00C32047">
              <w:t>an operator of a gas supply chain facility that experiences repeated weather-related or major weather-related forced interruptions of production</w:t>
            </w:r>
            <w:r>
              <w:t xml:space="preserve"> from a person contracted by the operator who is not an employee of the operator to the o</w:t>
            </w:r>
            <w:r>
              <w:t xml:space="preserve">perator itself. The bill, under RRC rule, requires the operator to propose remedial measures and to submit the measures to the RRC. The bill changes the </w:t>
            </w:r>
            <w:r w:rsidR="00535169">
              <w:t xml:space="preserve">solution </w:t>
            </w:r>
            <w:r>
              <w:t xml:space="preserve">the RRC may </w:t>
            </w:r>
            <w:r w:rsidRPr="00710768">
              <w:t>require an operator to implement</w:t>
            </w:r>
            <w:r>
              <w:t xml:space="preserve"> from </w:t>
            </w:r>
            <w:r w:rsidRPr="0057046E">
              <w:t>appropriate recommendations included in a</w:t>
            </w:r>
            <w:r>
              <w:t xml:space="preserve"> su</w:t>
            </w:r>
            <w:r>
              <w:t>bmitted</w:t>
            </w:r>
            <w:r w:rsidRPr="0057046E">
              <w:t xml:space="preserve"> assessment </w:t>
            </w:r>
            <w:r>
              <w:t xml:space="preserve">to </w:t>
            </w:r>
            <w:r w:rsidR="00A960A0">
              <w:t xml:space="preserve">the </w:t>
            </w:r>
            <w:r>
              <w:t xml:space="preserve">submitted remedial measures and makes the requirement contingent on </w:t>
            </w:r>
            <w:r w:rsidR="00961343">
              <w:t>an RRC determination</w:t>
            </w:r>
            <w:r>
              <w:t xml:space="preserve"> that </w:t>
            </w:r>
            <w:r w:rsidRPr="0057046E">
              <w:t xml:space="preserve">the remedial measures are necessary for compliance with </w:t>
            </w:r>
            <w:r w:rsidR="00961343">
              <w:t xml:space="preserve">RRC weather emergency preparedness </w:t>
            </w:r>
            <w:r w:rsidRPr="0057046E">
              <w:t>rules</w:t>
            </w:r>
            <w:r>
              <w:t xml:space="preserve">. </w:t>
            </w:r>
          </w:p>
          <w:p w14:paraId="06248DA9" w14:textId="5B07D300" w:rsidR="00EE2BE1" w:rsidRDefault="00EE2BE1" w:rsidP="00F54D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35B3B86" w14:textId="5E5182AC" w:rsidR="00EE2BE1" w:rsidRDefault="006A75B7" w:rsidP="00F54D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A960A0">
              <w:t xml:space="preserve">H.B. </w:t>
            </w:r>
            <w:r w:rsidR="00A960A0" w:rsidRPr="00A960A0">
              <w:t>3244</w:t>
            </w:r>
            <w:r w:rsidRPr="00A960A0">
              <w:t xml:space="preserve"> requires the assessmen</w:t>
            </w:r>
            <w:r w:rsidRPr="00A960A0">
              <w:t xml:space="preserve">t </w:t>
            </w:r>
            <w:r>
              <w:t>of a penalty for a violation of a rule relating to gas supply chain facility weather emergency preparedness to be assessed in the prescribed manner for the assessment of an RRC administra</w:t>
            </w:r>
            <w:r w:rsidRPr="00622097">
              <w:t>tive penalty</w:t>
            </w:r>
            <w:r w:rsidR="0056113C" w:rsidRPr="00622097">
              <w:t xml:space="preserve"> </w:t>
            </w:r>
            <w:r w:rsidR="0056113C" w:rsidRPr="005B2D88">
              <w:t>and establishes that each day a violation</w:t>
            </w:r>
            <w:r w:rsidR="0056113C" w:rsidRPr="00622097">
              <w:t xml:space="preserve"> occurs constitutes a</w:t>
            </w:r>
            <w:r w:rsidR="0056113C" w:rsidRPr="005B2D88">
              <w:t xml:space="preserve"> separate offense</w:t>
            </w:r>
            <w:r w:rsidRPr="00622097">
              <w:t xml:space="preserve">. The </w:t>
            </w:r>
            <w:r>
              <w:t>bill prohibits t</w:t>
            </w:r>
            <w:r w:rsidRPr="002127E7">
              <w:t xml:space="preserve">he </w:t>
            </w:r>
            <w:r>
              <w:t>RRC</w:t>
            </w:r>
            <w:r w:rsidRPr="002127E7">
              <w:t xml:space="preserve"> </w:t>
            </w:r>
            <w:r>
              <w:t>from</w:t>
            </w:r>
            <w:r w:rsidRPr="002127E7">
              <w:t xml:space="preserve"> assess</w:t>
            </w:r>
            <w:r>
              <w:t>ing</w:t>
            </w:r>
            <w:r w:rsidRPr="002127E7">
              <w:t xml:space="preserve"> a penalty against a</w:t>
            </w:r>
            <w:r>
              <w:t xml:space="preserve"> facility</w:t>
            </w:r>
            <w:r w:rsidRPr="002127E7">
              <w:t xml:space="preserve"> operator for a violation of </w:t>
            </w:r>
            <w:r>
              <w:t xml:space="preserve">such </w:t>
            </w:r>
            <w:r w:rsidRPr="002127E7">
              <w:t xml:space="preserve">a rule if the </w:t>
            </w:r>
            <w:r>
              <w:t>RRC</w:t>
            </w:r>
            <w:r w:rsidRPr="002127E7">
              <w:t xml:space="preserve"> determines that the operator made reasonably prudent efforts to comply with the rule, regardless of whether</w:t>
            </w:r>
            <w:r w:rsidRPr="002127E7">
              <w:t xml:space="preserve"> the facility failed to operate during a weather emergency</w:t>
            </w:r>
            <w:r>
              <w:t>.</w:t>
            </w:r>
          </w:p>
          <w:p w14:paraId="338368B3" w14:textId="4221C5E7" w:rsidR="009C36CD" w:rsidRDefault="009C36CD" w:rsidP="00F54D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7C2D377" w14:textId="74787D09" w:rsidR="004624C2" w:rsidRDefault="006A75B7" w:rsidP="00F54D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</w:t>
            </w:r>
            <w:r w:rsidR="005E623A">
              <w:t xml:space="preserve">3244 amends the </w:t>
            </w:r>
            <w:r w:rsidR="005E623A" w:rsidRPr="005E623A">
              <w:t>Utilities Code</w:t>
            </w:r>
            <w:r w:rsidR="005E623A">
              <w:t xml:space="preserve"> to require the </w:t>
            </w:r>
            <w:r w:rsidR="005E623A" w:rsidRPr="005E623A">
              <w:t>Public Utility Commission of Texas</w:t>
            </w:r>
            <w:r w:rsidR="005E623A" w:rsidRPr="005B2D88">
              <w:t xml:space="preserve"> </w:t>
            </w:r>
            <w:r w:rsidR="005E623A" w:rsidRPr="00622097">
              <w:t>to</w:t>
            </w:r>
            <w:r w:rsidRPr="00622097">
              <w:t xml:space="preserve"> </w:t>
            </w:r>
            <w:r w:rsidRPr="004624C2">
              <w:t>collaborate with the</w:t>
            </w:r>
            <w:r w:rsidR="005E623A">
              <w:t xml:space="preserve"> RRC</w:t>
            </w:r>
            <w:r w:rsidRPr="004624C2">
              <w:t xml:space="preserve"> to</w:t>
            </w:r>
            <w:r w:rsidR="00635A5E">
              <w:t xml:space="preserve"> </w:t>
            </w:r>
            <w:r w:rsidR="00CB5A7E" w:rsidRPr="00CB5A7E">
              <w:t>adopt</w:t>
            </w:r>
            <w:r w:rsidRPr="004624C2">
              <w:t xml:space="preserve"> rules</w:t>
            </w:r>
            <w:r w:rsidR="001F7E88">
              <w:t>, n</w:t>
            </w:r>
            <w:r w:rsidR="001F7E88" w:rsidRPr="00CB5A7E">
              <w:t>ot later than December 1, 2023</w:t>
            </w:r>
            <w:r w:rsidR="001F7E88">
              <w:t xml:space="preserve">, </w:t>
            </w:r>
            <w:r w:rsidRPr="004624C2">
              <w:t xml:space="preserve">to allow a gas supply chain </w:t>
            </w:r>
            <w:r w:rsidRPr="00CB5A7E">
              <w:t>facility</w:t>
            </w:r>
            <w:r w:rsidRPr="00622097">
              <w:t xml:space="preserve"> that </w:t>
            </w:r>
            <w:r w:rsidRPr="004624C2">
              <w:t xml:space="preserve">is not included on the electricity supply chain </w:t>
            </w:r>
            <w:r w:rsidRPr="00622097">
              <w:t xml:space="preserve">map to serve </w:t>
            </w:r>
            <w:r w:rsidRPr="004624C2">
              <w:t>as a load resource or an emergency response resource.</w:t>
            </w:r>
          </w:p>
          <w:p w14:paraId="20F8BF2A" w14:textId="77777777" w:rsidR="004624C2" w:rsidRDefault="004624C2" w:rsidP="00F54D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D7F1168" w14:textId="71B88AFB" w:rsidR="00EE2BE1" w:rsidRDefault="006A75B7" w:rsidP="00F54D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3244 specif</w:t>
            </w:r>
            <w:r w:rsidR="005E623A">
              <w:t>ies</w:t>
            </w:r>
            <w:r>
              <w:t xml:space="preserve"> that the i</w:t>
            </w:r>
            <w:r w:rsidRPr="00D86EFE">
              <w:t>nformation written, produced, collected, assembled, or maintaine</w:t>
            </w:r>
            <w:r w:rsidRPr="00D86EFE">
              <w:t>d under law or in connection with the transaction of official business by the Texas Electricity Supply Chain Security and Mapping Committee or a</w:t>
            </w:r>
            <w:r w:rsidR="00D231B9">
              <w:t xml:space="preserve"> committee</w:t>
            </w:r>
            <w:r w:rsidRPr="00D86EFE">
              <w:t xml:space="preserve"> officer or employee </w:t>
            </w:r>
            <w:r>
              <w:t xml:space="preserve">that </w:t>
            </w:r>
            <w:r w:rsidRPr="00D86EFE">
              <w:t xml:space="preserve">is subject to </w:t>
            </w:r>
            <w:r>
              <w:t xml:space="preserve">provisions of </w:t>
            </w:r>
            <w:r w:rsidRPr="00D86EFE">
              <w:t>state public information law</w:t>
            </w:r>
            <w:r>
              <w:t xml:space="preserve"> relating to the dis</w:t>
            </w:r>
            <w:r>
              <w:t xml:space="preserve">closure of information for legislative purposes </w:t>
            </w:r>
            <w:r w:rsidRPr="00D86EFE">
              <w:t>includ</w:t>
            </w:r>
            <w:r>
              <w:t>es</w:t>
            </w:r>
            <w:r w:rsidRPr="00D86EFE">
              <w:t xml:space="preserve"> information that is confidential </w:t>
            </w:r>
            <w:r>
              <w:t xml:space="preserve">due to the </w:t>
            </w:r>
            <w:r w:rsidRPr="00D86EFE">
              <w:t>identif</w:t>
            </w:r>
            <w:r>
              <w:t>ication of</w:t>
            </w:r>
            <w:r w:rsidRPr="00D86EFE">
              <w:t xml:space="preserve"> the technical details of particular vulnerabilities of critical infrastructure to an act of terrorism</w:t>
            </w:r>
            <w:r>
              <w:t>. The bill establishes that</w:t>
            </w:r>
            <w:r w:rsidR="00F251B4">
              <w:t>, except as otherwise provided as such,</w:t>
            </w:r>
            <w:r>
              <w:t xml:space="preserve"> </w:t>
            </w:r>
            <w:r w:rsidRPr="00F10407">
              <w:t>portions of documents in the</w:t>
            </w:r>
            <w:r>
              <w:t xml:space="preserve"> committee's</w:t>
            </w:r>
            <w:r w:rsidRPr="00F10407">
              <w:t xml:space="preserve"> possession that are confidential </w:t>
            </w:r>
            <w:r>
              <w:t xml:space="preserve">due to the identification of such details </w:t>
            </w:r>
            <w:r w:rsidRPr="00F10407">
              <w:t>are not subject to disclosure under state public information law</w:t>
            </w:r>
            <w:r>
              <w:t xml:space="preserve">. </w:t>
            </w:r>
          </w:p>
          <w:p w14:paraId="7ECB98DF" w14:textId="77777777" w:rsidR="00EE2BE1" w:rsidRDefault="00EE2BE1" w:rsidP="00F54D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7BCFD55" w14:textId="04A7656D" w:rsidR="00635A5E" w:rsidRDefault="006A75B7" w:rsidP="00F54D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EE2BE1">
              <w:t>H.B. 3244</w:t>
            </w:r>
            <w:r w:rsidR="00EE2BE1" w:rsidRPr="005E623A">
              <w:t xml:space="preserve"> authorizes</w:t>
            </w:r>
            <w:r w:rsidR="00EE2BE1" w:rsidRPr="005A053F">
              <w:t xml:space="preserve"> </w:t>
            </w:r>
            <w:r w:rsidR="00EE2BE1">
              <w:t xml:space="preserve">the committee to include on the electricity supply chain map a gas supply chain facility or a gas pipeline facility only after the </w:t>
            </w:r>
            <w:r w:rsidR="005E623A">
              <w:t>RRC</w:t>
            </w:r>
            <w:r w:rsidR="00EE2BE1">
              <w:t xml:space="preserve"> provides the facility's operator with notice and an opportunity for a hearing in the manner provided by the </w:t>
            </w:r>
            <w:r w:rsidR="00EE2BE1" w:rsidRPr="0043336B">
              <w:t>Administrative Procedure Act</w:t>
            </w:r>
            <w:r w:rsidR="00EE2BE1">
              <w:t>. The bill</w:t>
            </w:r>
            <w:r w:rsidR="001F7E88">
              <w:t xml:space="preserve"> </w:t>
            </w:r>
            <w:r w:rsidR="00EE2BE1">
              <w:t>requires the RRC</w:t>
            </w:r>
            <w:r w:rsidR="001F7E88">
              <w:t>, i</w:t>
            </w:r>
            <w:r w:rsidR="001F7E88" w:rsidRPr="005A053F">
              <w:t>f an operator requests a hearing</w:t>
            </w:r>
            <w:r w:rsidR="001F7E88">
              <w:t xml:space="preserve">, </w:t>
            </w:r>
            <w:r w:rsidR="00EE2BE1">
              <w:t xml:space="preserve">to hold the hearing and issue a decision in writing in accordance with the act as to whether the facility may be included on the map based on applicable rules and provisions of the </w:t>
            </w:r>
            <w:r w:rsidR="00EE2BE1" w:rsidRPr="0043336B">
              <w:t xml:space="preserve">Utilities Code </w:t>
            </w:r>
            <w:r w:rsidR="00EE2BE1">
              <w:t xml:space="preserve">and Natural Resources Code. The bill requires the committee to comply with the decision issued by the RRC. </w:t>
            </w:r>
            <w:r w:rsidR="00723B9C">
              <w:t>The bill establishes</w:t>
            </w:r>
            <w:r>
              <w:t xml:space="preserve"> the following:</w:t>
            </w:r>
          </w:p>
          <w:p w14:paraId="10C5DC30" w14:textId="3B4C9909" w:rsidR="005A053F" w:rsidRDefault="006A75B7" w:rsidP="00F54D5B">
            <w:pPr>
              <w:pStyle w:val="Header"/>
              <w:numPr>
                <w:ilvl w:val="0"/>
                <w:numId w:val="5"/>
              </w:numPr>
              <w:jc w:val="both"/>
            </w:pPr>
            <w:r>
              <w:t>except as otherwise provided by provisions relating to the committee, the information, data, and d</w:t>
            </w:r>
            <w:r>
              <w:t xml:space="preserve">ocuments collected during a hearing convened under </w:t>
            </w:r>
            <w:r w:rsidR="00635A5E">
              <w:t>these provisions of the bill</w:t>
            </w:r>
            <w:r>
              <w:t xml:space="preserve"> </w:t>
            </w:r>
            <w:r w:rsidRPr="00723B9C">
              <w:t>that are confidential</w:t>
            </w:r>
            <w:r w:rsidR="00635A5E">
              <w:t xml:space="preserve"> </w:t>
            </w:r>
            <w:r w:rsidR="00635A5E" w:rsidRPr="00635A5E">
              <w:t>due to the identification of the technical details of particular vulnerabilities of critical infrastructure to an act of terrorism</w:t>
            </w:r>
            <w:r w:rsidRPr="00723B9C">
              <w:t xml:space="preserve"> are not subject to disc</w:t>
            </w:r>
            <w:r w:rsidRPr="00723B9C">
              <w:t>losure under state public information law</w:t>
            </w:r>
            <w:r w:rsidR="00635A5E">
              <w:t>; and</w:t>
            </w:r>
          </w:p>
          <w:p w14:paraId="65AC4572" w14:textId="5C9DB4D0" w:rsidR="005A053F" w:rsidRDefault="006A75B7" w:rsidP="00F54D5B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portions of a decision or order issued by the RRC under these provisions </w:t>
            </w:r>
            <w:r w:rsidR="00723B9C" w:rsidRPr="00723B9C">
              <w:t>that are confidential</w:t>
            </w:r>
            <w:r>
              <w:t xml:space="preserve"> as such</w:t>
            </w:r>
            <w:r w:rsidR="00723B9C" w:rsidRPr="00723B9C">
              <w:t xml:space="preserve"> are not subject to </w:t>
            </w:r>
            <w:r>
              <w:t xml:space="preserve">such </w:t>
            </w:r>
            <w:r w:rsidR="00723B9C" w:rsidRPr="00723B9C">
              <w:t>disclosure</w:t>
            </w:r>
            <w:r>
              <w:t>.</w:t>
            </w:r>
          </w:p>
          <w:p w14:paraId="63B497E6" w14:textId="3C56B6B6" w:rsidR="00EE2BE1" w:rsidRDefault="006A75B7" w:rsidP="00F54D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These provisions of the bill </w:t>
            </w:r>
            <w:r w:rsidRPr="00EE2BE1">
              <w:t>appl</w:t>
            </w:r>
            <w:r>
              <w:t>y</w:t>
            </w:r>
            <w:r w:rsidRPr="00EE2BE1">
              <w:t xml:space="preserve"> only to the addition of a facility </w:t>
            </w:r>
            <w:r w:rsidRPr="00EE2BE1">
              <w:t>to the map on or after the</w:t>
            </w:r>
            <w:r>
              <w:t xml:space="preserve"> bill's </w:t>
            </w:r>
            <w:r w:rsidRPr="00EE2BE1">
              <w:t>effective date.</w:t>
            </w:r>
          </w:p>
          <w:p w14:paraId="47E5A801" w14:textId="506B09C6" w:rsidR="00EE2BE1" w:rsidRDefault="00EE2BE1" w:rsidP="00F54D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4AA411F" w14:textId="5E83BF52" w:rsidR="00EE2BE1" w:rsidRDefault="006A75B7" w:rsidP="00F54D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3244 repeals provisions </w:t>
            </w:r>
            <w:r w:rsidR="00D91340">
              <w:t>that provide for</w:t>
            </w:r>
            <w:r>
              <w:t xml:space="preserve"> RRC </w:t>
            </w:r>
            <w:r w:rsidRPr="00C70F8E">
              <w:t>weather emergency preparedness report</w:t>
            </w:r>
            <w:r>
              <w:t>s.</w:t>
            </w:r>
          </w:p>
          <w:p w14:paraId="72913619" w14:textId="77777777" w:rsidR="00EE2BE1" w:rsidRDefault="00EE2BE1" w:rsidP="00F54D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7D5563E" w14:textId="330E7F8C" w:rsidR="00EE2BE1" w:rsidRDefault="006A75B7" w:rsidP="00F54D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3244 repeals the following provisions:</w:t>
            </w:r>
          </w:p>
          <w:p w14:paraId="5E5A576C" w14:textId="77777777" w:rsidR="00EE2BE1" w:rsidRDefault="006A75B7" w:rsidP="00F54D5B">
            <w:pPr>
              <w:pStyle w:val="Header"/>
              <w:numPr>
                <w:ilvl w:val="0"/>
                <w:numId w:val="2"/>
              </w:numPr>
              <w:jc w:val="both"/>
            </w:pPr>
            <w:r>
              <w:t>Section 86.044(h), Natural Resources Code; and</w:t>
            </w:r>
          </w:p>
          <w:p w14:paraId="3562E1D9" w14:textId="4AD8AE57" w:rsidR="00EE2BE1" w:rsidRPr="009C36CD" w:rsidRDefault="006A75B7" w:rsidP="00F54D5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Section </w:t>
            </w:r>
            <w:r>
              <w:t>186.008, Utilities Code.</w:t>
            </w:r>
          </w:p>
          <w:p w14:paraId="53547863" w14:textId="77777777" w:rsidR="008423E4" w:rsidRPr="00835628" w:rsidRDefault="008423E4" w:rsidP="00F54D5B">
            <w:pPr>
              <w:rPr>
                <w:b/>
              </w:rPr>
            </w:pPr>
          </w:p>
        </w:tc>
      </w:tr>
      <w:tr w:rsidR="00E55C82" w14:paraId="262C1930" w14:textId="77777777" w:rsidTr="00345119">
        <w:tc>
          <w:tcPr>
            <w:tcW w:w="9576" w:type="dxa"/>
          </w:tcPr>
          <w:p w14:paraId="63FBA60A" w14:textId="77777777" w:rsidR="008423E4" w:rsidRPr="00A8133F" w:rsidRDefault="006A75B7" w:rsidP="00F54D5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81DAD77" w14:textId="77777777" w:rsidR="008423E4" w:rsidRDefault="008423E4" w:rsidP="00F54D5B"/>
          <w:p w14:paraId="35949449" w14:textId="69F024CA" w:rsidR="008423E4" w:rsidRPr="003624F2" w:rsidRDefault="006A75B7" w:rsidP="00F54D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0097722" w14:textId="77777777" w:rsidR="008423E4" w:rsidRPr="00233FDB" w:rsidRDefault="008423E4" w:rsidP="00F54D5B">
            <w:pPr>
              <w:rPr>
                <w:b/>
              </w:rPr>
            </w:pPr>
          </w:p>
        </w:tc>
      </w:tr>
      <w:tr w:rsidR="00E55C82" w14:paraId="6CEC2492" w14:textId="77777777" w:rsidTr="00345119">
        <w:tc>
          <w:tcPr>
            <w:tcW w:w="9576" w:type="dxa"/>
          </w:tcPr>
          <w:p w14:paraId="2FE52A98" w14:textId="77777777" w:rsidR="00AA3A23" w:rsidRDefault="006A75B7" w:rsidP="00F54D5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1368742" w14:textId="77777777" w:rsidR="00EA4437" w:rsidRDefault="00EA4437" w:rsidP="00F54D5B">
            <w:pPr>
              <w:jc w:val="both"/>
              <w:rPr>
                <w:b/>
                <w:u w:val="single"/>
              </w:rPr>
            </w:pPr>
          </w:p>
          <w:p w14:paraId="33EFC31F" w14:textId="77777777" w:rsidR="003346CD" w:rsidRDefault="006A75B7" w:rsidP="00F54D5B">
            <w:pPr>
              <w:jc w:val="both"/>
            </w:pPr>
            <w:r>
              <w:t xml:space="preserve">While C.S.H.B. 3244 may differ from the introduced in minor or nonsubstantive ways, the following summarizes the substantial differences </w:t>
            </w:r>
            <w:r>
              <w:t>between the introduced and committee substitute versions of the bill.</w:t>
            </w:r>
          </w:p>
          <w:p w14:paraId="101D556E" w14:textId="77777777" w:rsidR="003346CD" w:rsidRDefault="003346CD" w:rsidP="00F54D5B">
            <w:pPr>
              <w:jc w:val="both"/>
            </w:pPr>
          </w:p>
          <w:p w14:paraId="413F754E" w14:textId="481B1D69" w:rsidR="005F793A" w:rsidRDefault="006A75B7" w:rsidP="00F54D5B">
            <w:pPr>
              <w:jc w:val="both"/>
            </w:pPr>
            <w:r>
              <w:t xml:space="preserve">With </w:t>
            </w:r>
            <w:r w:rsidR="003346CD">
              <w:t xml:space="preserve">regard to rules of the RRC that establish a process to designate certain natural gas facilities and entities associated with providing natural gas in Texas as critical customers or critical gas suppliers during energy emergencies, </w:t>
            </w:r>
            <w:r>
              <w:t xml:space="preserve">the substitute omits a provision in the introduced that, </w:t>
            </w:r>
            <w:r w:rsidR="003346CD">
              <w:t>with respect to the requirement that the rules consider essential operational elements when defining critical customer designations and critical gas supply information</w:t>
            </w:r>
            <w:r>
              <w:t xml:space="preserve">, </w:t>
            </w:r>
            <w:r w:rsidR="003346CD">
              <w:t xml:space="preserve">included </w:t>
            </w:r>
            <w:r>
              <w:t xml:space="preserve">the following </w:t>
            </w:r>
            <w:r w:rsidR="003346CD">
              <w:t>as such elements</w:t>
            </w:r>
            <w:r>
              <w:t>:</w:t>
            </w:r>
          </w:p>
          <w:p w14:paraId="5AF070DE" w14:textId="77777777" w:rsidR="005F793A" w:rsidRDefault="006A75B7" w:rsidP="00F54D5B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</w:pPr>
            <w:r>
              <w:t>the net load of electricity required for a facility; and</w:t>
            </w:r>
          </w:p>
          <w:p w14:paraId="42E6C7F2" w14:textId="53440EB9" w:rsidR="005F793A" w:rsidRDefault="006A75B7" w:rsidP="00F54D5B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</w:pPr>
            <w:r>
              <w:t xml:space="preserve">the ability of an operator to reduce demand from a facility in response to an instruction issued by an independent system </w:t>
            </w:r>
            <w:r>
              <w:t>operator.</w:t>
            </w:r>
          </w:p>
          <w:p w14:paraId="1A847D9B" w14:textId="77777777" w:rsidR="003346CD" w:rsidRDefault="003346CD" w:rsidP="00F54D5B">
            <w:pPr>
              <w:jc w:val="both"/>
            </w:pPr>
          </w:p>
          <w:p w14:paraId="67D368EA" w14:textId="0734DEC1" w:rsidR="003346CD" w:rsidRDefault="006A75B7" w:rsidP="00F54D5B">
            <w:pPr>
              <w:jc w:val="both"/>
            </w:pPr>
            <w:r>
              <w:t xml:space="preserve">The substitute includes provisions absent in the introduced that </w:t>
            </w:r>
            <w:r w:rsidRPr="003F30DD">
              <w:t>require the Public Utility Commission of Texas to collaborate with the RRC to</w:t>
            </w:r>
            <w:r>
              <w:t xml:space="preserve"> </w:t>
            </w:r>
            <w:r w:rsidRPr="003F30DD">
              <w:t>adopt rules, not later than December 1, 2023, to allow a gas supply chain facility that is not include</w:t>
            </w:r>
            <w:r w:rsidRPr="003F30DD">
              <w:t>d on the electricity supply chain map to serve as a load resource or an emergency response resource.</w:t>
            </w:r>
          </w:p>
          <w:p w14:paraId="346CCF65" w14:textId="77777777" w:rsidR="003346CD" w:rsidRDefault="003346CD" w:rsidP="00F54D5B">
            <w:pPr>
              <w:jc w:val="both"/>
            </w:pPr>
          </w:p>
          <w:p w14:paraId="4D5D2F3B" w14:textId="77777777" w:rsidR="003346CD" w:rsidRDefault="006A75B7" w:rsidP="00F54D5B">
            <w:pPr>
              <w:jc w:val="both"/>
            </w:pPr>
            <w:r>
              <w:t xml:space="preserve">The introduced and the substitute differ in the following ways with regard to the inclusion by the </w:t>
            </w:r>
            <w:r w:rsidRPr="003F30DD">
              <w:t>Texas Electricity Supply Chain Security and Mapping Com</w:t>
            </w:r>
            <w:r w:rsidRPr="003F30DD">
              <w:t>mittee</w:t>
            </w:r>
            <w:r>
              <w:t xml:space="preserve"> of a</w:t>
            </w:r>
            <w:r w:rsidRPr="003F30DD">
              <w:t xml:space="preserve"> gas supply chain facility or a gas pipeline facility</w:t>
            </w:r>
            <w:r>
              <w:t xml:space="preserve"> </w:t>
            </w:r>
            <w:r w:rsidRPr="003F30DD">
              <w:t>on the electricity supply chain map</w:t>
            </w:r>
            <w:r>
              <w:t>:</w:t>
            </w:r>
          </w:p>
          <w:p w14:paraId="0AE9C699" w14:textId="77777777" w:rsidR="003346CD" w:rsidRDefault="006A75B7" w:rsidP="00F54D5B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>
              <w:t xml:space="preserve">with regard to the entity that provides a facility operator with </w:t>
            </w:r>
            <w:r w:rsidRPr="00E1053D">
              <w:t>notice and an opportunity for a hearing</w:t>
            </w:r>
            <w:r>
              <w:t>, the introduced specified the entity as the commi</w:t>
            </w:r>
            <w:r>
              <w:t xml:space="preserve">ttee whereas the substitute specifies the entity as the RRC; </w:t>
            </w:r>
          </w:p>
          <w:p w14:paraId="45749F18" w14:textId="77777777" w:rsidR="003346CD" w:rsidRDefault="006A75B7" w:rsidP="00F54D5B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>
              <w:t>the introduced specified the hearing as a contested case hearing, whereas the substitute does not include this specification; and</w:t>
            </w:r>
          </w:p>
          <w:p w14:paraId="26082872" w14:textId="77777777" w:rsidR="003346CD" w:rsidRDefault="006A75B7" w:rsidP="00F54D5B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>
              <w:t>the substitute includes provisions absent in the introduced that</w:t>
            </w:r>
            <w:r>
              <w:t xml:space="preserve"> establish the following:</w:t>
            </w:r>
          </w:p>
          <w:p w14:paraId="382B6AD7" w14:textId="62926F5C" w:rsidR="00F54D5B" w:rsidRDefault="006A75B7" w:rsidP="00F54D5B">
            <w:pPr>
              <w:pStyle w:val="ListParagraph"/>
              <w:numPr>
                <w:ilvl w:val="1"/>
                <w:numId w:val="7"/>
              </w:numPr>
              <w:contextualSpacing w:val="0"/>
              <w:jc w:val="both"/>
            </w:pPr>
            <w:r>
              <w:t xml:space="preserve">except as otherwise provided, the information, data, and documents collected during a hearing that are confidential due to the identification of the technical details of particular vulnerabilities of critical infrastructure to an </w:t>
            </w:r>
            <w:r>
              <w:t>act of terrorism are not subject to disclosure under state public information law; and</w:t>
            </w:r>
          </w:p>
          <w:p w14:paraId="366C1EF3" w14:textId="205FCA4A" w:rsidR="003346CD" w:rsidRPr="00F54D5B" w:rsidRDefault="006A75B7" w:rsidP="00F54D5B">
            <w:pPr>
              <w:pStyle w:val="ListParagraph"/>
              <w:numPr>
                <w:ilvl w:val="1"/>
                <w:numId w:val="7"/>
              </w:numPr>
              <w:contextualSpacing w:val="0"/>
              <w:jc w:val="both"/>
              <w:rPr>
                <w:b/>
                <w:u w:val="single"/>
              </w:rPr>
            </w:pPr>
            <w:r>
              <w:t>portions of a decision or order issued by the RRC that are confidential as such are not subject to such disclosure.</w:t>
            </w:r>
          </w:p>
        </w:tc>
      </w:tr>
      <w:tr w:rsidR="00E55C82" w14:paraId="225C4F2F" w14:textId="77777777" w:rsidTr="00345119">
        <w:tc>
          <w:tcPr>
            <w:tcW w:w="9576" w:type="dxa"/>
          </w:tcPr>
          <w:p w14:paraId="58612885" w14:textId="77777777" w:rsidR="00E10457" w:rsidRPr="009C1E9A" w:rsidRDefault="00E10457" w:rsidP="00F54D5B">
            <w:pPr>
              <w:rPr>
                <w:b/>
                <w:u w:val="single"/>
              </w:rPr>
            </w:pPr>
          </w:p>
        </w:tc>
      </w:tr>
      <w:tr w:rsidR="00E55C82" w14:paraId="66B1F9BE" w14:textId="77777777" w:rsidTr="00345119">
        <w:tc>
          <w:tcPr>
            <w:tcW w:w="9576" w:type="dxa"/>
          </w:tcPr>
          <w:p w14:paraId="73C1A3B3" w14:textId="77777777" w:rsidR="00E10457" w:rsidRPr="00AA3A23" w:rsidRDefault="00E10457" w:rsidP="00F54D5B">
            <w:pPr>
              <w:jc w:val="both"/>
            </w:pPr>
          </w:p>
        </w:tc>
      </w:tr>
      <w:tr w:rsidR="00E55C82" w14:paraId="5086E9DE" w14:textId="77777777" w:rsidTr="00345119">
        <w:tc>
          <w:tcPr>
            <w:tcW w:w="9576" w:type="dxa"/>
          </w:tcPr>
          <w:p w14:paraId="658C402D" w14:textId="77777777" w:rsidR="00AA3A23" w:rsidRPr="00E10457" w:rsidRDefault="00AA3A23" w:rsidP="00F54D5B">
            <w:pPr>
              <w:jc w:val="both"/>
            </w:pPr>
          </w:p>
        </w:tc>
      </w:tr>
      <w:tr w:rsidR="00E55C82" w14:paraId="3B9EE464" w14:textId="77777777" w:rsidTr="00345119">
        <w:tc>
          <w:tcPr>
            <w:tcW w:w="9576" w:type="dxa"/>
          </w:tcPr>
          <w:p w14:paraId="020958C3" w14:textId="77777777" w:rsidR="00AA3A23" w:rsidRPr="00E10457" w:rsidRDefault="00AA3A23" w:rsidP="00F54D5B">
            <w:pPr>
              <w:jc w:val="both"/>
            </w:pPr>
          </w:p>
        </w:tc>
      </w:tr>
      <w:tr w:rsidR="00E55C82" w14:paraId="4A9B1FA1" w14:textId="77777777" w:rsidTr="00345119">
        <w:tc>
          <w:tcPr>
            <w:tcW w:w="9576" w:type="dxa"/>
          </w:tcPr>
          <w:p w14:paraId="2428C1AF" w14:textId="77777777" w:rsidR="00AA3A23" w:rsidRPr="00E10457" w:rsidRDefault="00AA3A23" w:rsidP="00F54D5B">
            <w:pPr>
              <w:jc w:val="both"/>
            </w:pPr>
          </w:p>
        </w:tc>
      </w:tr>
    </w:tbl>
    <w:p w14:paraId="04CF0502" w14:textId="77777777" w:rsidR="008423E4" w:rsidRPr="00BE0E75" w:rsidRDefault="008423E4" w:rsidP="00F54D5B">
      <w:pPr>
        <w:jc w:val="both"/>
        <w:rPr>
          <w:rFonts w:ascii="Arial" w:hAnsi="Arial"/>
          <w:sz w:val="16"/>
          <w:szCs w:val="16"/>
        </w:rPr>
      </w:pPr>
    </w:p>
    <w:p w14:paraId="14FFC48B" w14:textId="77777777" w:rsidR="004108C3" w:rsidRPr="008423E4" w:rsidRDefault="004108C3" w:rsidP="00F54D5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94945" w14:textId="77777777" w:rsidR="00000000" w:rsidRDefault="006A75B7">
      <w:r>
        <w:separator/>
      </w:r>
    </w:p>
  </w:endnote>
  <w:endnote w:type="continuationSeparator" w:id="0">
    <w:p w14:paraId="5032F4AD" w14:textId="77777777" w:rsidR="00000000" w:rsidRDefault="006A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343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55C82" w14:paraId="4A94AF5F" w14:textId="77777777" w:rsidTr="009C1E9A">
      <w:trPr>
        <w:cantSplit/>
      </w:trPr>
      <w:tc>
        <w:tcPr>
          <w:tcW w:w="0" w:type="pct"/>
        </w:tcPr>
        <w:p w14:paraId="3924C5E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2C99C7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B836D4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C02EDB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765770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55C82" w14:paraId="3A8C39F4" w14:textId="77777777" w:rsidTr="009C1E9A">
      <w:trPr>
        <w:cantSplit/>
      </w:trPr>
      <w:tc>
        <w:tcPr>
          <w:tcW w:w="0" w:type="pct"/>
        </w:tcPr>
        <w:p w14:paraId="4518A93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E1FF3A0" w14:textId="559D577E" w:rsidR="00EC379B" w:rsidRPr="009C1E9A" w:rsidRDefault="006A75B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25779-D</w:t>
          </w:r>
        </w:p>
      </w:tc>
      <w:tc>
        <w:tcPr>
          <w:tcW w:w="2453" w:type="pct"/>
        </w:tcPr>
        <w:p w14:paraId="0AD222C3" w14:textId="26C6FD9B" w:rsidR="00EC379B" w:rsidRDefault="006A75B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C1847">
            <w:t>23.113.747</w:t>
          </w:r>
          <w:r>
            <w:fldChar w:fldCharType="end"/>
          </w:r>
        </w:p>
      </w:tc>
    </w:tr>
    <w:tr w:rsidR="00E55C82" w14:paraId="47016A6E" w14:textId="77777777" w:rsidTr="009C1E9A">
      <w:trPr>
        <w:cantSplit/>
      </w:trPr>
      <w:tc>
        <w:tcPr>
          <w:tcW w:w="0" w:type="pct"/>
        </w:tcPr>
        <w:p w14:paraId="3098187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5EE4F83" w14:textId="0EE6AA70" w:rsidR="00EC379B" w:rsidRPr="009C1E9A" w:rsidRDefault="006A75B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22274</w:t>
          </w:r>
        </w:p>
      </w:tc>
      <w:tc>
        <w:tcPr>
          <w:tcW w:w="2453" w:type="pct"/>
        </w:tcPr>
        <w:p w14:paraId="326D31B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2197DF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55C82" w14:paraId="28E038B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C5CDCAC" w14:textId="77777777" w:rsidR="00EC379B" w:rsidRDefault="006A75B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18A7CB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CECF7C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0C3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4751A" w14:textId="77777777" w:rsidR="00000000" w:rsidRDefault="006A75B7">
      <w:r>
        <w:separator/>
      </w:r>
    </w:p>
  </w:footnote>
  <w:footnote w:type="continuationSeparator" w:id="0">
    <w:p w14:paraId="7B00FBF7" w14:textId="77777777" w:rsidR="00000000" w:rsidRDefault="006A7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220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4BE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46B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1A4A"/>
    <w:multiLevelType w:val="hybridMultilevel"/>
    <w:tmpl w:val="F95E4430"/>
    <w:lvl w:ilvl="0" w:tplc="6AF0FFE0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C56C3D52" w:tentative="1">
      <w:start w:val="1"/>
      <w:numFmt w:val="lowerLetter"/>
      <w:lvlText w:val="%2."/>
      <w:lvlJc w:val="left"/>
      <w:pPr>
        <w:ind w:left="1440" w:hanging="360"/>
      </w:pPr>
    </w:lvl>
    <w:lvl w:ilvl="2" w:tplc="C2361FEC" w:tentative="1">
      <w:start w:val="1"/>
      <w:numFmt w:val="lowerRoman"/>
      <w:lvlText w:val="%3."/>
      <w:lvlJc w:val="right"/>
      <w:pPr>
        <w:ind w:left="2160" w:hanging="180"/>
      </w:pPr>
    </w:lvl>
    <w:lvl w:ilvl="3" w:tplc="146CF54C" w:tentative="1">
      <w:start w:val="1"/>
      <w:numFmt w:val="decimal"/>
      <w:lvlText w:val="%4."/>
      <w:lvlJc w:val="left"/>
      <w:pPr>
        <w:ind w:left="2880" w:hanging="360"/>
      </w:pPr>
    </w:lvl>
    <w:lvl w:ilvl="4" w:tplc="21924BE2" w:tentative="1">
      <w:start w:val="1"/>
      <w:numFmt w:val="lowerLetter"/>
      <w:lvlText w:val="%5."/>
      <w:lvlJc w:val="left"/>
      <w:pPr>
        <w:ind w:left="3600" w:hanging="360"/>
      </w:pPr>
    </w:lvl>
    <w:lvl w:ilvl="5" w:tplc="94AAA6C4" w:tentative="1">
      <w:start w:val="1"/>
      <w:numFmt w:val="lowerRoman"/>
      <w:lvlText w:val="%6."/>
      <w:lvlJc w:val="right"/>
      <w:pPr>
        <w:ind w:left="4320" w:hanging="180"/>
      </w:pPr>
    </w:lvl>
    <w:lvl w:ilvl="6" w:tplc="54AE0514" w:tentative="1">
      <w:start w:val="1"/>
      <w:numFmt w:val="decimal"/>
      <w:lvlText w:val="%7."/>
      <w:lvlJc w:val="left"/>
      <w:pPr>
        <w:ind w:left="5040" w:hanging="360"/>
      </w:pPr>
    </w:lvl>
    <w:lvl w:ilvl="7" w:tplc="33940CB8" w:tentative="1">
      <w:start w:val="1"/>
      <w:numFmt w:val="lowerLetter"/>
      <w:lvlText w:val="%8."/>
      <w:lvlJc w:val="left"/>
      <w:pPr>
        <w:ind w:left="5760" w:hanging="360"/>
      </w:pPr>
    </w:lvl>
    <w:lvl w:ilvl="8" w:tplc="2FCCF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40A1F"/>
    <w:multiLevelType w:val="hybridMultilevel"/>
    <w:tmpl w:val="E7D6B69C"/>
    <w:lvl w:ilvl="0" w:tplc="CB285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CA6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B64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BEA1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49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222A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A31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037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447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320F2"/>
    <w:multiLevelType w:val="hybridMultilevel"/>
    <w:tmpl w:val="2BA6E736"/>
    <w:lvl w:ilvl="0" w:tplc="33047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B42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FC4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A3C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C1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127E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80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46F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AC7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A46E2"/>
    <w:multiLevelType w:val="hybridMultilevel"/>
    <w:tmpl w:val="041286E0"/>
    <w:lvl w:ilvl="0" w:tplc="05165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870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E43C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769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61C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2254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6A4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E61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C60E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A7458"/>
    <w:multiLevelType w:val="hybridMultilevel"/>
    <w:tmpl w:val="4DB0F1F4"/>
    <w:lvl w:ilvl="0" w:tplc="06D0B7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2CDD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4A20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E0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0E4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46B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A02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C3D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D23B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202FC"/>
    <w:multiLevelType w:val="hybridMultilevel"/>
    <w:tmpl w:val="7E84F85E"/>
    <w:lvl w:ilvl="0" w:tplc="F8881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6083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FC98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4B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8F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36CE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3A82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49A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16B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81578"/>
    <w:multiLevelType w:val="hybridMultilevel"/>
    <w:tmpl w:val="B7166CA4"/>
    <w:lvl w:ilvl="0" w:tplc="B31E3E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201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3201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8CD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ED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7409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23B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82B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48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551AB"/>
    <w:multiLevelType w:val="hybridMultilevel"/>
    <w:tmpl w:val="C95AF7F8"/>
    <w:lvl w:ilvl="0" w:tplc="6214F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B62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9613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49E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E7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EA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21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A8A9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CA8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520557">
    <w:abstractNumId w:val="6"/>
  </w:num>
  <w:num w:numId="2" w16cid:durableId="2060783946">
    <w:abstractNumId w:val="5"/>
  </w:num>
  <w:num w:numId="3" w16cid:durableId="1323777184">
    <w:abstractNumId w:val="0"/>
  </w:num>
  <w:num w:numId="4" w16cid:durableId="1839341186">
    <w:abstractNumId w:val="3"/>
  </w:num>
  <w:num w:numId="5" w16cid:durableId="1597396681">
    <w:abstractNumId w:val="7"/>
  </w:num>
  <w:num w:numId="6" w16cid:durableId="1807892942">
    <w:abstractNumId w:val="1"/>
  </w:num>
  <w:num w:numId="7" w16cid:durableId="1479882523">
    <w:abstractNumId w:val="4"/>
  </w:num>
  <w:num w:numId="8" w16cid:durableId="292711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F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4807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1F7E88"/>
    <w:rsid w:val="00200B9E"/>
    <w:rsid w:val="00200BF5"/>
    <w:rsid w:val="002010D1"/>
    <w:rsid w:val="00201338"/>
    <w:rsid w:val="0020775D"/>
    <w:rsid w:val="002116DD"/>
    <w:rsid w:val="002127E7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1AAA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718E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52EC"/>
    <w:rsid w:val="00311555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46CD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3AF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30DD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1891"/>
    <w:rsid w:val="00422039"/>
    <w:rsid w:val="00423FBC"/>
    <w:rsid w:val="004241AA"/>
    <w:rsid w:val="0042422E"/>
    <w:rsid w:val="0043190E"/>
    <w:rsid w:val="004324E9"/>
    <w:rsid w:val="0043336B"/>
    <w:rsid w:val="004350F3"/>
    <w:rsid w:val="00436980"/>
    <w:rsid w:val="004406FE"/>
    <w:rsid w:val="00441016"/>
    <w:rsid w:val="00441F2F"/>
    <w:rsid w:val="0044228B"/>
    <w:rsid w:val="00445293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4C2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4E4C"/>
    <w:rsid w:val="004B576C"/>
    <w:rsid w:val="004B772A"/>
    <w:rsid w:val="004C1AC2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39AF"/>
    <w:rsid w:val="004F470F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6DA7"/>
    <w:rsid w:val="005073E8"/>
    <w:rsid w:val="00510503"/>
    <w:rsid w:val="0051324D"/>
    <w:rsid w:val="00515466"/>
    <w:rsid w:val="005154F7"/>
    <w:rsid w:val="005159DE"/>
    <w:rsid w:val="00524A93"/>
    <w:rsid w:val="005269CE"/>
    <w:rsid w:val="005304B2"/>
    <w:rsid w:val="005336BD"/>
    <w:rsid w:val="00534A49"/>
    <w:rsid w:val="00535169"/>
    <w:rsid w:val="005363BB"/>
    <w:rsid w:val="00541B98"/>
    <w:rsid w:val="00543374"/>
    <w:rsid w:val="00543A80"/>
    <w:rsid w:val="00545548"/>
    <w:rsid w:val="00546923"/>
    <w:rsid w:val="00551CA6"/>
    <w:rsid w:val="00555034"/>
    <w:rsid w:val="005570D2"/>
    <w:rsid w:val="0056113C"/>
    <w:rsid w:val="00561528"/>
    <w:rsid w:val="0056153F"/>
    <w:rsid w:val="00561B14"/>
    <w:rsid w:val="00562C87"/>
    <w:rsid w:val="005636BD"/>
    <w:rsid w:val="005666D5"/>
    <w:rsid w:val="005669A7"/>
    <w:rsid w:val="0057046E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53F"/>
    <w:rsid w:val="005A0E18"/>
    <w:rsid w:val="005A12A5"/>
    <w:rsid w:val="005A3790"/>
    <w:rsid w:val="005A3CCB"/>
    <w:rsid w:val="005A6D13"/>
    <w:rsid w:val="005B031F"/>
    <w:rsid w:val="005B2D88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623A"/>
    <w:rsid w:val="005E738F"/>
    <w:rsid w:val="005E788B"/>
    <w:rsid w:val="005F1519"/>
    <w:rsid w:val="005F4862"/>
    <w:rsid w:val="005F5679"/>
    <w:rsid w:val="005F5FDF"/>
    <w:rsid w:val="005F6960"/>
    <w:rsid w:val="005F7000"/>
    <w:rsid w:val="005F793A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2097"/>
    <w:rsid w:val="006249CB"/>
    <w:rsid w:val="006272DD"/>
    <w:rsid w:val="00630963"/>
    <w:rsid w:val="00631897"/>
    <w:rsid w:val="00632928"/>
    <w:rsid w:val="006330DA"/>
    <w:rsid w:val="00633262"/>
    <w:rsid w:val="00633460"/>
    <w:rsid w:val="00635A5E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30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75B7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847"/>
    <w:rsid w:val="006C3736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219B"/>
    <w:rsid w:val="006F29AE"/>
    <w:rsid w:val="006F365D"/>
    <w:rsid w:val="006F4BB0"/>
    <w:rsid w:val="007031BD"/>
    <w:rsid w:val="00703E80"/>
    <w:rsid w:val="00704D37"/>
    <w:rsid w:val="00705276"/>
    <w:rsid w:val="007066A0"/>
    <w:rsid w:val="007075FB"/>
    <w:rsid w:val="0070787B"/>
    <w:rsid w:val="00710768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3B9C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62AC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33E1"/>
    <w:rsid w:val="00850CF0"/>
    <w:rsid w:val="00851869"/>
    <w:rsid w:val="00851C04"/>
    <w:rsid w:val="008531A1"/>
    <w:rsid w:val="00853A94"/>
    <w:rsid w:val="008547A3"/>
    <w:rsid w:val="0085797D"/>
    <w:rsid w:val="00860020"/>
    <w:rsid w:val="0086168A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1580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D5A"/>
    <w:rsid w:val="00924EA9"/>
    <w:rsid w:val="009257BF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1343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4D6"/>
    <w:rsid w:val="00986720"/>
    <w:rsid w:val="00987F00"/>
    <w:rsid w:val="0099403D"/>
    <w:rsid w:val="00995B0B"/>
    <w:rsid w:val="009A1883"/>
    <w:rsid w:val="009A39F5"/>
    <w:rsid w:val="009A4588"/>
    <w:rsid w:val="009A5EA5"/>
    <w:rsid w:val="009A6467"/>
    <w:rsid w:val="009B00C2"/>
    <w:rsid w:val="009B26AB"/>
    <w:rsid w:val="009B2E44"/>
    <w:rsid w:val="009B3476"/>
    <w:rsid w:val="009B39BC"/>
    <w:rsid w:val="009B5069"/>
    <w:rsid w:val="009B69AD"/>
    <w:rsid w:val="009B7806"/>
    <w:rsid w:val="009C05C1"/>
    <w:rsid w:val="009C1E9A"/>
    <w:rsid w:val="009C2759"/>
    <w:rsid w:val="009C2A33"/>
    <w:rsid w:val="009C2E49"/>
    <w:rsid w:val="009C36CD"/>
    <w:rsid w:val="009C43A5"/>
    <w:rsid w:val="009C5A1D"/>
    <w:rsid w:val="009C6B08"/>
    <w:rsid w:val="009C6BAE"/>
    <w:rsid w:val="009C70FC"/>
    <w:rsid w:val="009D002B"/>
    <w:rsid w:val="009D37C7"/>
    <w:rsid w:val="009D4BBD"/>
    <w:rsid w:val="009D5A41"/>
    <w:rsid w:val="009E13BF"/>
    <w:rsid w:val="009E3631"/>
    <w:rsid w:val="009E3EB9"/>
    <w:rsid w:val="009E48FA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162E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0A0"/>
    <w:rsid w:val="00AA18AE"/>
    <w:rsid w:val="00AA228B"/>
    <w:rsid w:val="00AA3A23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5674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155"/>
    <w:rsid w:val="00B34F25"/>
    <w:rsid w:val="00B43672"/>
    <w:rsid w:val="00B473D8"/>
    <w:rsid w:val="00B47B23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4945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5BD8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6FC2"/>
    <w:rsid w:val="00C2142B"/>
    <w:rsid w:val="00C22987"/>
    <w:rsid w:val="00C23956"/>
    <w:rsid w:val="00C248E6"/>
    <w:rsid w:val="00C2766F"/>
    <w:rsid w:val="00C32047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F8E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5A7E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1B9"/>
    <w:rsid w:val="00D239EE"/>
    <w:rsid w:val="00D30534"/>
    <w:rsid w:val="00D35728"/>
    <w:rsid w:val="00D359A7"/>
    <w:rsid w:val="00D37BCF"/>
    <w:rsid w:val="00D40EA7"/>
    <w:rsid w:val="00D40F93"/>
    <w:rsid w:val="00D42277"/>
    <w:rsid w:val="00D43C59"/>
    <w:rsid w:val="00D448E3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6EFE"/>
    <w:rsid w:val="00D91340"/>
    <w:rsid w:val="00D91B92"/>
    <w:rsid w:val="00D926B3"/>
    <w:rsid w:val="00D92F63"/>
    <w:rsid w:val="00D947B6"/>
    <w:rsid w:val="00D94A53"/>
    <w:rsid w:val="00D953DC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02AC"/>
    <w:rsid w:val="00DC1F1B"/>
    <w:rsid w:val="00DC2564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5107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0457"/>
    <w:rsid w:val="00E1053D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C82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4437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BE1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0407"/>
    <w:rsid w:val="00F11E04"/>
    <w:rsid w:val="00F12B24"/>
    <w:rsid w:val="00F12BC7"/>
    <w:rsid w:val="00F15223"/>
    <w:rsid w:val="00F164B4"/>
    <w:rsid w:val="00F176E4"/>
    <w:rsid w:val="00F20E5F"/>
    <w:rsid w:val="00F24068"/>
    <w:rsid w:val="00F251B4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165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4D5B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A7C2F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E7962"/>
    <w:rsid w:val="00FF0A28"/>
    <w:rsid w:val="00FF0B8B"/>
    <w:rsid w:val="00FF0E93"/>
    <w:rsid w:val="00FF13C3"/>
    <w:rsid w:val="00FF34C8"/>
    <w:rsid w:val="00FF4341"/>
    <w:rsid w:val="00FF4ABC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6732D6-FFAC-4875-B355-41E0F7F0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24D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4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4D5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4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4D5A"/>
    <w:rPr>
      <w:b/>
      <w:bCs/>
    </w:rPr>
  </w:style>
  <w:style w:type="character" w:styleId="Hyperlink">
    <w:name w:val="Hyperlink"/>
    <w:basedOn w:val="DefaultParagraphFont"/>
    <w:unhideWhenUsed/>
    <w:rsid w:val="0043336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33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C480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351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A4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1419</Words>
  <Characters>7694</Characters>
  <Application>Microsoft Office Word</Application>
  <DocSecurity>4</DocSecurity>
  <Lines>154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HB03244 (Committee Report (Substituted))</vt:lpstr>
    </vt:vector>
  </TitlesOfParts>
  <Company>State of Texas</Company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25779</dc:subject>
  <dc:creator>State of Texas</dc:creator>
  <dc:description>HB 3244 by Goldman-(H)Energy Resources (Substitute Document Number: 88R 22274)</dc:description>
  <cp:lastModifiedBy>Stacey Nicchio</cp:lastModifiedBy>
  <cp:revision>2</cp:revision>
  <cp:lastPrinted>2003-11-26T17:21:00Z</cp:lastPrinted>
  <dcterms:created xsi:type="dcterms:W3CDTF">2023-04-24T21:21:00Z</dcterms:created>
  <dcterms:modified xsi:type="dcterms:W3CDTF">2023-04-24T21:21:00Z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23.113.747</vt:lpwstr>
  </property>
</Properties>
</file>