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A1614A" w14:paraId="0DE171BA" w14:textId="77777777" w:rsidTr="00345119">
        <w:tc>
          <w:tcPr>
            <w:tcW w:w="9576" w:type="dxa"/>
            <w:noWrap/>
          </w:tcPr>
          <w:p w14:paraId="345DCF2B" w14:textId="77777777" w:rsidR="008423E4" w:rsidRPr="0022177D" w:rsidRDefault="008E4A6F" w:rsidP="00FB5A47">
            <w:pPr>
              <w:pStyle w:val="Heading1"/>
            </w:pPr>
            <w:r w:rsidRPr="00631897">
              <w:t>BILL ANALYSIS</w:t>
            </w:r>
          </w:p>
        </w:tc>
      </w:tr>
    </w:tbl>
    <w:p w14:paraId="1CD49C87" w14:textId="77777777" w:rsidR="008423E4" w:rsidRPr="0022177D" w:rsidRDefault="008423E4" w:rsidP="00FB5A47">
      <w:pPr>
        <w:jc w:val="center"/>
      </w:pPr>
    </w:p>
    <w:p w14:paraId="2385A41D" w14:textId="77777777" w:rsidR="008423E4" w:rsidRPr="00B31F0E" w:rsidRDefault="008423E4" w:rsidP="00FB5A47"/>
    <w:p w14:paraId="58F5A16F" w14:textId="77777777" w:rsidR="008423E4" w:rsidRPr="00742794" w:rsidRDefault="008423E4" w:rsidP="00FB5A47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A1614A" w14:paraId="26484227" w14:textId="77777777" w:rsidTr="00345119">
        <w:tc>
          <w:tcPr>
            <w:tcW w:w="9576" w:type="dxa"/>
          </w:tcPr>
          <w:p w14:paraId="623F024D" w14:textId="0F2FDB82" w:rsidR="008423E4" w:rsidRPr="00861995" w:rsidRDefault="008E4A6F" w:rsidP="00FB5A47">
            <w:pPr>
              <w:jc w:val="right"/>
            </w:pPr>
            <w:r>
              <w:t>C.S.H.B. 3296</w:t>
            </w:r>
          </w:p>
        </w:tc>
      </w:tr>
      <w:tr w:rsidR="00A1614A" w14:paraId="5C0D2228" w14:textId="77777777" w:rsidTr="00345119">
        <w:tc>
          <w:tcPr>
            <w:tcW w:w="9576" w:type="dxa"/>
          </w:tcPr>
          <w:p w14:paraId="3D1EA783" w14:textId="5B041F8C" w:rsidR="008423E4" w:rsidRPr="00861995" w:rsidRDefault="008E4A6F" w:rsidP="00FB5A47">
            <w:pPr>
              <w:jc w:val="right"/>
            </w:pPr>
            <w:r>
              <w:t xml:space="preserve">By: </w:t>
            </w:r>
            <w:r w:rsidR="008E0778">
              <w:t>Raney</w:t>
            </w:r>
          </w:p>
        </w:tc>
      </w:tr>
      <w:tr w:rsidR="00A1614A" w14:paraId="15EB5B7A" w14:textId="77777777" w:rsidTr="00345119">
        <w:tc>
          <w:tcPr>
            <w:tcW w:w="9576" w:type="dxa"/>
          </w:tcPr>
          <w:p w14:paraId="7EE44300" w14:textId="4B47C91A" w:rsidR="008423E4" w:rsidRPr="00861995" w:rsidRDefault="008E4A6F" w:rsidP="00FB5A47">
            <w:pPr>
              <w:jc w:val="right"/>
            </w:pPr>
            <w:r>
              <w:t>Higher Education</w:t>
            </w:r>
          </w:p>
        </w:tc>
      </w:tr>
      <w:tr w:rsidR="00A1614A" w14:paraId="6C76FC78" w14:textId="77777777" w:rsidTr="00345119">
        <w:tc>
          <w:tcPr>
            <w:tcW w:w="9576" w:type="dxa"/>
          </w:tcPr>
          <w:p w14:paraId="01211032" w14:textId="5A91C04D" w:rsidR="008423E4" w:rsidRDefault="008E4A6F" w:rsidP="00FB5A47">
            <w:pPr>
              <w:jc w:val="right"/>
            </w:pPr>
            <w:r>
              <w:t>Committee Report (Substituted)</w:t>
            </w:r>
          </w:p>
        </w:tc>
      </w:tr>
    </w:tbl>
    <w:p w14:paraId="2BC06B2D" w14:textId="77777777" w:rsidR="008423E4" w:rsidRDefault="008423E4" w:rsidP="00FB5A47">
      <w:pPr>
        <w:tabs>
          <w:tab w:val="right" w:pos="9360"/>
        </w:tabs>
      </w:pPr>
    </w:p>
    <w:p w14:paraId="0FDC6BCD" w14:textId="77777777" w:rsidR="008423E4" w:rsidRDefault="008423E4" w:rsidP="00FB5A47"/>
    <w:p w14:paraId="162051C5" w14:textId="77777777" w:rsidR="008423E4" w:rsidRDefault="008423E4" w:rsidP="00FB5A47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A1614A" w14:paraId="70CF9474" w14:textId="77777777" w:rsidTr="00345119">
        <w:tc>
          <w:tcPr>
            <w:tcW w:w="9576" w:type="dxa"/>
          </w:tcPr>
          <w:p w14:paraId="70EDB22E" w14:textId="77777777" w:rsidR="008423E4" w:rsidRPr="00A8133F" w:rsidRDefault="008E4A6F" w:rsidP="00FB5A4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9D970B7" w14:textId="77777777" w:rsidR="008423E4" w:rsidRDefault="008423E4" w:rsidP="00FB5A47"/>
          <w:p w14:paraId="55C60CCC" w14:textId="237D0FFE" w:rsidR="008423E4" w:rsidRDefault="008E4A6F" w:rsidP="00FB5A4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DF03F9">
              <w:t xml:space="preserve">The two-year postsecondary sector plays a vital role in Texas' workforce development. Understanding how programs contribute to the </w:t>
            </w:r>
            <w:r w:rsidRPr="00DF03F9">
              <w:t>workforce success of students is important for policymakers and leaders of institutions</w:t>
            </w:r>
            <w:r w:rsidR="006F261E">
              <w:t xml:space="preserve"> of higher education</w:t>
            </w:r>
            <w:r w:rsidRPr="00DF03F9">
              <w:t>.</w:t>
            </w:r>
            <w:r>
              <w:t xml:space="preserve"> C.S.H.B. 3296</w:t>
            </w:r>
            <w:r w:rsidRPr="00DF03F9">
              <w:t xml:space="preserve"> seeks to provide lawmakers with the information necessary to make comparisons about the value-add of institutions and programs in the</w:t>
            </w:r>
            <w:r w:rsidRPr="00DF03F9">
              <w:t xml:space="preserve"> two-year postsecondary sector</w:t>
            </w:r>
            <w:r>
              <w:t xml:space="preserve"> by </w:t>
            </w:r>
            <w:r w:rsidR="00FD5D51">
              <w:t xml:space="preserve">requiring the Texas Higher Education Coordinating Board to </w:t>
            </w:r>
            <w:r w:rsidR="006F261E">
              <w:t>submit an annual report containing information on the average first-year wages, placement rate, and transfer rate of each two-year institution of higher education.</w:t>
            </w:r>
          </w:p>
          <w:p w14:paraId="29E5D2AA" w14:textId="77777777" w:rsidR="008423E4" w:rsidRPr="00E26B13" w:rsidRDefault="008423E4" w:rsidP="00FB5A47">
            <w:pPr>
              <w:rPr>
                <w:b/>
              </w:rPr>
            </w:pPr>
          </w:p>
        </w:tc>
      </w:tr>
      <w:tr w:rsidR="00A1614A" w14:paraId="3B8F5510" w14:textId="77777777" w:rsidTr="00345119">
        <w:tc>
          <w:tcPr>
            <w:tcW w:w="9576" w:type="dxa"/>
          </w:tcPr>
          <w:p w14:paraId="667F1808" w14:textId="77777777" w:rsidR="0017725B" w:rsidRDefault="008E4A6F" w:rsidP="00FB5A4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4C9C858" w14:textId="77777777" w:rsidR="0017725B" w:rsidRDefault="0017725B" w:rsidP="00FB5A47">
            <w:pPr>
              <w:rPr>
                <w:b/>
                <w:u w:val="single"/>
              </w:rPr>
            </w:pPr>
          </w:p>
          <w:p w14:paraId="20C1B2F0" w14:textId="41FA67C5" w:rsidR="00866A4C" w:rsidRPr="00866A4C" w:rsidRDefault="008E4A6F" w:rsidP="00FB5A47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</w:t>
            </w:r>
            <w:r>
              <w:t>ervision, parole, or mandatory supervision.</w:t>
            </w:r>
          </w:p>
          <w:p w14:paraId="7135E496" w14:textId="77777777" w:rsidR="0017725B" w:rsidRPr="0017725B" w:rsidRDefault="0017725B" w:rsidP="00FB5A47">
            <w:pPr>
              <w:rPr>
                <w:b/>
                <w:u w:val="single"/>
              </w:rPr>
            </w:pPr>
          </w:p>
        </w:tc>
      </w:tr>
      <w:tr w:rsidR="00A1614A" w14:paraId="77C2BED7" w14:textId="77777777" w:rsidTr="00345119">
        <w:tc>
          <w:tcPr>
            <w:tcW w:w="9576" w:type="dxa"/>
          </w:tcPr>
          <w:p w14:paraId="04BF2959" w14:textId="77777777" w:rsidR="008423E4" w:rsidRPr="00A8133F" w:rsidRDefault="008E4A6F" w:rsidP="00FB5A4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4A1E957" w14:textId="77777777" w:rsidR="008423E4" w:rsidRDefault="008423E4" w:rsidP="00FB5A47"/>
          <w:p w14:paraId="6C4EB8AC" w14:textId="0FDB3E52" w:rsidR="008F08B8" w:rsidRDefault="008E4A6F" w:rsidP="00FB5A4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rulemaking authority is expressly granted to the </w:t>
            </w:r>
            <w:r w:rsidR="008E0778">
              <w:t>Texas Higher Education Coordinating Board</w:t>
            </w:r>
            <w:r>
              <w:t xml:space="preserve"> in </w:t>
            </w:r>
            <w:r w:rsidR="008E0778">
              <w:t>SECTION 1</w:t>
            </w:r>
            <w:r>
              <w:t xml:space="preserve"> of this bill.</w:t>
            </w:r>
          </w:p>
          <w:p w14:paraId="7BA4AE61" w14:textId="77777777" w:rsidR="008423E4" w:rsidRPr="00E21FDC" w:rsidRDefault="008423E4" w:rsidP="00FB5A47">
            <w:pPr>
              <w:rPr>
                <w:b/>
              </w:rPr>
            </w:pPr>
          </w:p>
        </w:tc>
      </w:tr>
      <w:tr w:rsidR="00A1614A" w14:paraId="57C73CF0" w14:textId="77777777" w:rsidTr="00345119">
        <w:tc>
          <w:tcPr>
            <w:tcW w:w="9576" w:type="dxa"/>
          </w:tcPr>
          <w:p w14:paraId="052024D6" w14:textId="77777777" w:rsidR="008423E4" w:rsidRPr="00A8133F" w:rsidRDefault="008E4A6F" w:rsidP="00FB5A4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D31DA6B" w14:textId="77777777" w:rsidR="008423E4" w:rsidRDefault="008423E4" w:rsidP="00FB5A47"/>
          <w:p w14:paraId="4DD423D2" w14:textId="00C98A17" w:rsidR="00C5789F" w:rsidRDefault="008E4A6F" w:rsidP="00FB5A47">
            <w:pPr>
              <w:pStyle w:val="Header"/>
              <w:jc w:val="both"/>
            </w:pPr>
            <w:r>
              <w:t xml:space="preserve">C.S.H.B. 3296 amends the Government Code to require the </w:t>
            </w:r>
            <w:r w:rsidR="00DA7F9E">
              <w:t>Texas Higher Education Coordinating Board</w:t>
            </w:r>
            <w:r>
              <w:t xml:space="preserve"> </w:t>
            </w:r>
            <w:r w:rsidR="008140CF">
              <w:t xml:space="preserve">(THECB) </w:t>
            </w:r>
            <w:r>
              <w:t>to</w:t>
            </w:r>
            <w:r w:rsidR="00DA7F9E">
              <w:t xml:space="preserve"> do the following not later than March 31 of each calendar</w:t>
            </w:r>
            <w:r w:rsidR="000C2FC2">
              <w:t xml:space="preserve"> </w:t>
            </w:r>
            <w:r w:rsidR="00DA7F9E">
              <w:t>year</w:t>
            </w:r>
            <w:r>
              <w:t>:</w:t>
            </w:r>
          </w:p>
          <w:p w14:paraId="5E6F0F0C" w14:textId="3E3A1D9B" w:rsidR="00C5789F" w:rsidRDefault="008E4A6F" w:rsidP="00FB5A47">
            <w:pPr>
              <w:pStyle w:val="Header"/>
              <w:numPr>
                <w:ilvl w:val="0"/>
                <w:numId w:val="3"/>
              </w:numPr>
              <w:jc w:val="both"/>
            </w:pPr>
            <w:r>
              <w:t>determine, in consultation with the Texas Workforce Commission (TWC), the most rece</w:t>
            </w:r>
            <w:r>
              <w:t>nt calendar year for which the entire calendar year's unemployment insurance wage record data may be obtained from</w:t>
            </w:r>
            <w:r w:rsidR="007A48EA">
              <w:t xml:space="preserve"> the</w:t>
            </w:r>
            <w:r>
              <w:t xml:space="preserve"> TWC;</w:t>
            </w:r>
          </w:p>
          <w:p w14:paraId="65A11E71" w14:textId="65B38D0F" w:rsidR="00C5789F" w:rsidRDefault="008E4A6F" w:rsidP="00FB5A47">
            <w:pPr>
              <w:pStyle w:val="Header"/>
              <w:numPr>
                <w:ilvl w:val="0"/>
                <w:numId w:val="3"/>
              </w:numPr>
              <w:jc w:val="both"/>
            </w:pPr>
            <w:r>
              <w:t>obtain from</w:t>
            </w:r>
            <w:r w:rsidR="007A48EA">
              <w:t xml:space="preserve"> the</w:t>
            </w:r>
            <w:r>
              <w:t xml:space="preserve"> TWC the unemployment insurance wage record data for the identified calendar year;</w:t>
            </w:r>
          </w:p>
          <w:p w14:paraId="7119C225" w14:textId="4DCF594D" w:rsidR="00C5789F" w:rsidRDefault="008E4A6F" w:rsidP="00FB5A47">
            <w:pPr>
              <w:pStyle w:val="Header"/>
              <w:numPr>
                <w:ilvl w:val="0"/>
                <w:numId w:val="3"/>
              </w:numPr>
              <w:jc w:val="both"/>
            </w:pPr>
            <w:r>
              <w:t xml:space="preserve">collate the </w:t>
            </w:r>
            <w:r w:rsidR="000C2FC2">
              <w:t xml:space="preserve">obtained </w:t>
            </w:r>
            <w:r>
              <w:t xml:space="preserve">unemployment </w:t>
            </w:r>
            <w:r>
              <w:t>insurance wage record data using the social security numbers for graduates and leavers in each</w:t>
            </w:r>
            <w:r w:rsidR="002507C7">
              <w:t xml:space="preserve"> public junior college, public state college, and public technical institute's</w:t>
            </w:r>
            <w:r>
              <w:t xml:space="preserve"> yearly cohort for the calendar year immediately preceding the calendar year for whi</w:t>
            </w:r>
            <w:r>
              <w:t>ch the unemployment insurance wage record data was obtained;</w:t>
            </w:r>
          </w:p>
          <w:p w14:paraId="0439F144" w14:textId="024CFFAB" w:rsidR="00C5789F" w:rsidRDefault="008E4A6F" w:rsidP="00FB5A47">
            <w:pPr>
              <w:pStyle w:val="Header"/>
              <w:numPr>
                <w:ilvl w:val="0"/>
                <w:numId w:val="3"/>
              </w:numPr>
              <w:jc w:val="both"/>
            </w:pPr>
            <w:r>
              <w:t>use the</w:t>
            </w:r>
            <w:r w:rsidR="00636C6D">
              <w:t xml:space="preserve"> collated</w:t>
            </w:r>
            <w:r>
              <w:t xml:space="preserve"> unemployment insurance wage record data to determine the average first-year wages and placement rate for each yearly cohort; and</w:t>
            </w:r>
          </w:p>
          <w:p w14:paraId="3DE97FDE" w14:textId="7F0C3FDD" w:rsidR="00C5789F" w:rsidRDefault="008E4A6F" w:rsidP="00FB5A47">
            <w:pPr>
              <w:pStyle w:val="Header"/>
              <w:numPr>
                <w:ilvl w:val="0"/>
                <w:numId w:val="3"/>
              </w:numPr>
              <w:jc w:val="both"/>
            </w:pPr>
            <w:r>
              <w:t xml:space="preserve">using enrollment data from all </w:t>
            </w:r>
            <w:r w:rsidR="009B2D7E">
              <w:t xml:space="preserve">public </w:t>
            </w:r>
            <w:r>
              <w:t>institution</w:t>
            </w:r>
            <w:r>
              <w:t>s of higher education, determine the transfer rate for each yearly cohort.</w:t>
            </w:r>
          </w:p>
          <w:p w14:paraId="7CF365D3" w14:textId="7619B601" w:rsidR="007A48EA" w:rsidRDefault="008E4A6F" w:rsidP="00FB5A47">
            <w:pPr>
              <w:pStyle w:val="Header"/>
              <w:jc w:val="both"/>
            </w:pPr>
            <w:r>
              <w:t>The bill</w:t>
            </w:r>
            <w:r w:rsidR="002507C7">
              <w:t xml:space="preserve"> </w:t>
            </w:r>
            <w:r>
              <w:t>requires the THECB</w:t>
            </w:r>
            <w:r w:rsidR="00636C6D">
              <w:t>, not later than the first Monday of April</w:t>
            </w:r>
            <w:r w:rsidR="008140CF">
              <w:t xml:space="preserve"> of</w:t>
            </w:r>
            <w:r w:rsidR="00636C6D">
              <w:t xml:space="preserve"> each year,</w:t>
            </w:r>
            <w:r>
              <w:t xml:space="preserve"> to submit to each member of the </w:t>
            </w:r>
            <w:r w:rsidRPr="00C5789F">
              <w:t>legislature, the lieutenant governor, the governor, the comptroll</w:t>
            </w:r>
            <w:r w:rsidRPr="00C5789F">
              <w:t>er</w:t>
            </w:r>
            <w:r w:rsidR="00636C6D">
              <w:t xml:space="preserve"> of public accounts</w:t>
            </w:r>
            <w:r w:rsidRPr="00C5789F">
              <w:t>, and the chief executive officer of each</w:t>
            </w:r>
            <w:r w:rsidR="002507C7">
              <w:t xml:space="preserve"> such</w:t>
            </w:r>
            <w:r w:rsidRPr="00C5789F">
              <w:t xml:space="preserve"> two-year institution of higher education</w:t>
            </w:r>
            <w:r>
              <w:t xml:space="preserve"> a report containing the most recently available </w:t>
            </w:r>
            <w:r w:rsidR="00537ADA">
              <w:t>average first-year wages, placement rate, and transfer rate of each</w:t>
            </w:r>
            <w:r>
              <w:t xml:space="preserve"> two-year institution</w:t>
            </w:r>
            <w:r w:rsidR="00537ADA">
              <w:t>, as determined by the THECB</w:t>
            </w:r>
            <w:r>
              <w:t xml:space="preserve">. The bill requires the THECB to maintain copies of each </w:t>
            </w:r>
            <w:r w:rsidR="00537ADA">
              <w:t xml:space="preserve">submitted </w:t>
            </w:r>
            <w:r>
              <w:t xml:space="preserve">report in a manner that is accessible for public inspection and </w:t>
            </w:r>
            <w:r w:rsidR="00537ADA">
              <w:t>to</w:t>
            </w:r>
            <w:r>
              <w:t xml:space="preserve"> provide a copy of a report to </w:t>
            </w:r>
            <w:r w:rsidR="00537ADA">
              <w:t xml:space="preserve">an applicable </w:t>
            </w:r>
            <w:r w:rsidR="008F08B8">
              <w:t>official</w:t>
            </w:r>
            <w:r w:rsidR="00537ADA">
              <w:t xml:space="preserve"> on request</w:t>
            </w:r>
            <w:r>
              <w:t>.</w:t>
            </w:r>
            <w:r w:rsidR="008F08B8">
              <w:t xml:space="preserve"> The bill authorizes the THECB to </w:t>
            </w:r>
            <w:r w:rsidR="008F08B8" w:rsidRPr="008F08B8">
              <w:t>adopt rules as necessary for the administration</w:t>
            </w:r>
            <w:r w:rsidR="008F08B8">
              <w:t xml:space="preserve"> of the annual report</w:t>
            </w:r>
            <w:r>
              <w:t>.</w:t>
            </w:r>
          </w:p>
          <w:p w14:paraId="2E4A21D9" w14:textId="77777777" w:rsidR="007A48EA" w:rsidRDefault="007A48EA" w:rsidP="00FB5A47">
            <w:pPr>
              <w:pStyle w:val="Header"/>
              <w:jc w:val="both"/>
            </w:pPr>
          </w:p>
          <w:p w14:paraId="0E8D6924" w14:textId="2D4A8092" w:rsidR="00C5789F" w:rsidRDefault="008E4A6F" w:rsidP="00FB5A47">
            <w:pPr>
              <w:pStyle w:val="Header"/>
              <w:jc w:val="both"/>
            </w:pPr>
            <w:r>
              <w:t xml:space="preserve">C.S.H.B. 3296 amends the Education Code to </w:t>
            </w:r>
            <w:r w:rsidR="00537ADA">
              <w:t xml:space="preserve">provide for the inclusion of the report's information </w:t>
            </w:r>
            <w:r w:rsidR="004503D5">
              <w:t>in a junior college district's annual performance report for each academic year.</w:t>
            </w:r>
          </w:p>
          <w:p w14:paraId="3119D95D" w14:textId="77777777" w:rsidR="00636C6D" w:rsidRDefault="00636C6D" w:rsidP="00FB5A47">
            <w:pPr>
              <w:pStyle w:val="Header"/>
              <w:jc w:val="both"/>
            </w:pPr>
          </w:p>
          <w:p w14:paraId="3AFE3EBA" w14:textId="5979940C" w:rsidR="00DA7F9E" w:rsidRDefault="008E4A6F" w:rsidP="00FB5A47">
            <w:pPr>
              <w:pStyle w:val="Header"/>
              <w:jc w:val="both"/>
            </w:pPr>
            <w:r>
              <w:t xml:space="preserve">C.S.H.B. 3296 </w:t>
            </w:r>
            <w:r w:rsidR="00D11DE6">
              <w:t xml:space="preserve">amends the Government Code to </w:t>
            </w:r>
            <w:r>
              <w:t>define the following terms</w:t>
            </w:r>
            <w:r w:rsidR="00D11DE6">
              <w:t xml:space="preserve"> for purposes of the annual report required by the bill</w:t>
            </w:r>
            <w:r>
              <w:t>:</w:t>
            </w:r>
          </w:p>
          <w:p w14:paraId="46B92842" w14:textId="77777777" w:rsidR="00DA7F9E" w:rsidRDefault="008E4A6F" w:rsidP="00FB5A47">
            <w:pPr>
              <w:pStyle w:val="Header"/>
              <w:numPr>
                <w:ilvl w:val="0"/>
                <w:numId w:val="2"/>
              </w:numPr>
              <w:jc w:val="both"/>
            </w:pPr>
            <w:r>
              <w:t>"average first-year wages" as the average annual wages earned by a yearly cohort's graduates and leavers during the first calenda</w:t>
            </w:r>
            <w:r>
              <w:t>r year following the calendar year in which those persons graduated from or were last enrolled in the applicable two-year institution of higher education;</w:t>
            </w:r>
          </w:p>
          <w:p w14:paraId="484A38C7" w14:textId="0BE36B45" w:rsidR="00DA7F9E" w:rsidRDefault="008E4A6F" w:rsidP="00FB5A47">
            <w:pPr>
              <w:pStyle w:val="Header"/>
              <w:numPr>
                <w:ilvl w:val="0"/>
                <w:numId w:val="2"/>
              </w:numPr>
              <w:jc w:val="both"/>
            </w:pPr>
            <w:r>
              <w:t>"graduate" as a person who has been awarded a degree or certificate from a two-year institution of hi</w:t>
            </w:r>
            <w:r>
              <w:t>gher education and is not determined by the THECB to be enrolled in another institution of higher education;</w:t>
            </w:r>
          </w:p>
          <w:p w14:paraId="62710B19" w14:textId="3B639DC2" w:rsidR="00DA7F9E" w:rsidRDefault="008E4A6F" w:rsidP="00FB5A47">
            <w:pPr>
              <w:pStyle w:val="Header"/>
              <w:numPr>
                <w:ilvl w:val="0"/>
                <w:numId w:val="2"/>
              </w:numPr>
              <w:jc w:val="both"/>
            </w:pPr>
            <w:r>
              <w:t xml:space="preserve">"leaver" as a student who has completed at least nine semester credit hours or the equivalent at a two-year institution of higher education, is no </w:t>
            </w:r>
            <w:r>
              <w:t xml:space="preserve">longer enrolled at the institution but did not graduate, and is not determined by the THECB </w:t>
            </w:r>
            <w:r w:rsidR="00157C01">
              <w:t xml:space="preserve">for the purposes of the annual report </w:t>
            </w:r>
            <w:r>
              <w:t>to be enrolled in another institution of higher education;</w:t>
            </w:r>
          </w:p>
          <w:p w14:paraId="25C3B1FF" w14:textId="111AA83D" w:rsidR="00DA7F9E" w:rsidRDefault="008E4A6F" w:rsidP="00FB5A47">
            <w:pPr>
              <w:pStyle w:val="Header"/>
              <w:numPr>
                <w:ilvl w:val="0"/>
                <w:numId w:val="2"/>
              </w:numPr>
              <w:jc w:val="both"/>
            </w:pPr>
            <w:r>
              <w:t>"placement rate</w:t>
            </w:r>
            <w:r w:rsidR="00157C01">
              <w:t>,</w:t>
            </w:r>
            <w:r>
              <w:t>" in regard to a yearly cohort, as the proportion o</w:t>
            </w:r>
            <w:r>
              <w:t xml:space="preserve">f the yearly cohort's graduates and leavers determined by the </w:t>
            </w:r>
            <w:r w:rsidR="00157C01">
              <w:t>THECB</w:t>
            </w:r>
            <w:r>
              <w:t xml:space="preserve"> to be working in </w:t>
            </w:r>
            <w:r w:rsidR="00157C01">
              <w:t>Texas</w:t>
            </w:r>
            <w:r>
              <w:t xml:space="preserve"> during the first calendar year following the calendar year in which the yearly cohort's members graduated from or were last enrolled in the applicable two-year insti</w:t>
            </w:r>
            <w:r>
              <w:t>tution of higher education, expressed as a percentage;</w:t>
            </w:r>
          </w:p>
          <w:p w14:paraId="5F905D66" w14:textId="238CC68B" w:rsidR="00DA7F9E" w:rsidRDefault="008E4A6F" w:rsidP="00FB5A47">
            <w:pPr>
              <w:pStyle w:val="Header"/>
              <w:numPr>
                <w:ilvl w:val="0"/>
                <w:numId w:val="2"/>
              </w:numPr>
              <w:jc w:val="both"/>
            </w:pPr>
            <w:r>
              <w:t>"transfer rate</w:t>
            </w:r>
            <w:r w:rsidR="00647CE1">
              <w:t>,</w:t>
            </w:r>
            <w:r>
              <w:t>" in regard to an institution's yearly cohort</w:t>
            </w:r>
            <w:r w:rsidR="00647CE1">
              <w:t>,</w:t>
            </w:r>
            <w:r>
              <w:t xml:space="preserve"> </w:t>
            </w:r>
            <w:r w:rsidR="00647CE1">
              <w:t>as</w:t>
            </w:r>
            <w:r>
              <w:t xml:space="preserve"> the proportion of the cohort's members who are no longer enrolled in the institution but did not graduate and are determined by the THEC</w:t>
            </w:r>
            <w:r>
              <w:t>B to be enrolled in another institution of higher education; and</w:t>
            </w:r>
          </w:p>
          <w:p w14:paraId="405C031F" w14:textId="6AA996CA" w:rsidR="00DA7F9E" w:rsidRDefault="008E4A6F" w:rsidP="00FB5A47">
            <w:pPr>
              <w:pStyle w:val="Header"/>
              <w:numPr>
                <w:ilvl w:val="0"/>
                <w:numId w:val="2"/>
              </w:numPr>
              <w:jc w:val="both"/>
            </w:pPr>
            <w:r>
              <w:t xml:space="preserve">"yearly cohort" </w:t>
            </w:r>
            <w:r w:rsidR="00647CE1">
              <w:t>as</w:t>
            </w:r>
            <w:r>
              <w:t xml:space="preserve"> a cohort of students from a two-year institution of higher education that includes, for a calendar year, each graduate who graduated from the institution during that calend</w:t>
            </w:r>
            <w:r>
              <w:t xml:space="preserve">ar year, </w:t>
            </w:r>
            <w:r w:rsidR="009B2D7E">
              <w:t xml:space="preserve">each </w:t>
            </w:r>
            <w:r>
              <w:t xml:space="preserve">leaver who last enrolled in the institution during that calendar year, and </w:t>
            </w:r>
            <w:r w:rsidR="009B2D7E">
              <w:t xml:space="preserve">each </w:t>
            </w:r>
            <w:r>
              <w:t>student who last enrolled in the institution during that calendar year but did not graduate and is determined by the THECB to be enrolled in another institution o</w:t>
            </w:r>
            <w:r>
              <w:t>f higher education.</w:t>
            </w:r>
          </w:p>
          <w:p w14:paraId="3C851018" w14:textId="77777777" w:rsidR="008423E4" w:rsidRPr="00835628" w:rsidRDefault="008423E4" w:rsidP="00FB5A4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A1614A" w14:paraId="4BF21469" w14:textId="77777777" w:rsidTr="00345119">
        <w:tc>
          <w:tcPr>
            <w:tcW w:w="9576" w:type="dxa"/>
          </w:tcPr>
          <w:p w14:paraId="1179A353" w14:textId="77777777" w:rsidR="008423E4" w:rsidRPr="00A8133F" w:rsidRDefault="008E4A6F" w:rsidP="00FB5A47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27B5C5B" w14:textId="77777777" w:rsidR="008423E4" w:rsidRDefault="008423E4" w:rsidP="00FB5A47"/>
          <w:p w14:paraId="5192C12F" w14:textId="3E6BCE74" w:rsidR="008423E4" w:rsidRPr="003624F2" w:rsidRDefault="008E4A6F" w:rsidP="00FB5A4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060A15C7" w14:textId="77777777" w:rsidR="008423E4" w:rsidRPr="00233FDB" w:rsidRDefault="008423E4" w:rsidP="00FB5A47">
            <w:pPr>
              <w:rPr>
                <w:b/>
              </w:rPr>
            </w:pPr>
          </w:p>
        </w:tc>
      </w:tr>
      <w:tr w:rsidR="00A1614A" w14:paraId="73D42C0C" w14:textId="77777777" w:rsidTr="00345119">
        <w:tc>
          <w:tcPr>
            <w:tcW w:w="9576" w:type="dxa"/>
          </w:tcPr>
          <w:p w14:paraId="24D9E193" w14:textId="77777777" w:rsidR="008E0778" w:rsidRDefault="008E4A6F" w:rsidP="00FB5A47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3F5BD5BC" w14:textId="77777777" w:rsidR="00F96654" w:rsidRDefault="00F96654" w:rsidP="00FB5A47">
            <w:pPr>
              <w:jc w:val="both"/>
            </w:pPr>
          </w:p>
          <w:p w14:paraId="08240547" w14:textId="4E833D02" w:rsidR="00F96654" w:rsidRDefault="008E4A6F" w:rsidP="00FB5A47">
            <w:pPr>
              <w:jc w:val="both"/>
            </w:pPr>
            <w:r>
              <w:t xml:space="preserve">While C.S.H.B. 3296 may differ from the introduced in minor or nonsubstantive ways, the following summarizes the substantial differences between the </w:t>
            </w:r>
            <w:r>
              <w:t>introduced and committee substitute versions of the bill.</w:t>
            </w:r>
          </w:p>
          <w:p w14:paraId="1BC85989" w14:textId="701F8E25" w:rsidR="00F96654" w:rsidRDefault="00F96654" w:rsidP="00FB5A47">
            <w:pPr>
              <w:jc w:val="both"/>
            </w:pPr>
          </w:p>
          <w:p w14:paraId="1C1C363B" w14:textId="3289AA72" w:rsidR="00F32D90" w:rsidRDefault="008E4A6F" w:rsidP="00FB5A47">
            <w:pPr>
              <w:jc w:val="both"/>
            </w:pPr>
            <w:r>
              <w:t xml:space="preserve">The </w:t>
            </w:r>
            <w:r w:rsidR="006A710F">
              <w:t>substitute</w:t>
            </w:r>
            <w:r>
              <w:t xml:space="preserve">, </w:t>
            </w:r>
            <w:r w:rsidR="005E71F3">
              <w:t xml:space="preserve">but not </w:t>
            </w:r>
            <w:r>
              <w:t xml:space="preserve">the introduced, </w:t>
            </w:r>
            <w:r w:rsidR="009E7244">
              <w:t xml:space="preserve">specifies </w:t>
            </w:r>
            <w:r w:rsidR="00F05FBC">
              <w:t xml:space="preserve">that </w:t>
            </w:r>
            <w:r w:rsidR="009E7244">
              <w:t xml:space="preserve">the information </w:t>
            </w:r>
            <w:r w:rsidR="00F05FBC">
              <w:t xml:space="preserve">required to be </w:t>
            </w:r>
            <w:r w:rsidR="009E7244">
              <w:t xml:space="preserve">contained in the report </w:t>
            </w:r>
            <w:r>
              <w:t>regarding</w:t>
            </w:r>
            <w:r w:rsidR="009E7244">
              <w:t xml:space="preserve"> </w:t>
            </w:r>
            <w:r w:rsidR="00647CE1">
              <w:t xml:space="preserve">a </w:t>
            </w:r>
            <w:r w:rsidR="009E7244">
              <w:t>junior college district</w:t>
            </w:r>
            <w:r w:rsidR="00647CE1">
              <w:t>'s</w:t>
            </w:r>
            <w:r>
              <w:t xml:space="preserve"> annual performance </w:t>
            </w:r>
            <w:r w:rsidR="009E7244">
              <w:t xml:space="preserve">is </w:t>
            </w:r>
            <w:r w:rsidR="009E7244" w:rsidRPr="009E7244">
              <w:t>the most recent average first-year wages, placement rate, and transfer rate for the district's students</w:t>
            </w:r>
            <w:r w:rsidR="009E7244">
              <w:t xml:space="preserve">. </w:t>
            </w:r>
          </w:p>
          <w:p w14:paraId="65E6ED9A" w14:textId="77777777" w:rsidR="00F32D90" w:rsidRDefault="00F32D90" w:rsidP="00FB5A47">
            <w:pPr>
              <w:jc w:val="both"/>
            </w:pPr>
          </w:p>
          <w:p w14:paraId="48DAE0C1" w14:textId="323CAF1F" w:rsidR="00544C64" w:rsidRDefault="008E4A6F" w:rsidP="00FB5A47">
            <w:pPr>
              <w:jc w:val="both"/>
            </w:pPr>
            <w:r>
              <w:t xml:space="preserve">The substitute </w:t>
            </w:r>
            <w:r w:rsidR="005E71F3">
              <w:t>and introduced both set out report submission requirements but they differ as follows</w:t>
            </w:r>
            <w:r>
              <w:t>:</w:t>
            </w:r>
          </w:p>
          <w:p w14:paraId="3C69016C" w14:textId="249D646A" w:rsidR="00544C64" w:rsidRDefault="008E4A6F" w:rsidP="00FB5A47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</w:pPr>
            <w:r>
              <w:t>t</w:t>
            </w:r>
            <w:r w:rsidR="005E71F3">
              <w:t xml:space="preserve">he substitute </w:t>
            </w:r>
            <w:r w:rsidR="006F2278">
              <w:t>requires the THECB to submit the report not later than the first Monday of April</w:t>
            </w:r>
            <w:r w:rsidR="00C1429E">
              <w:t xml:space="preserve"> and to complete the actions required by the bill not later than March 31 of each calendar year</w:t>
            </w:r>
            <w:r w:rsidR="006F2278">
              <w:t>, whereas the introduced required the THECB to gather</w:t>
            </w:r>
            <w:r w:rsidR="00675C36">
              <w:t xml:space="preserve">, collate, and maintain applicable </w:t>
            </w:r>
            <w:r w:rsidR="006F2278">
              <w:t xml:space="preserve">information </w:t>
            </w:r>
            <w:r w:rsidR="00675C36">
              <w:t xml:space="preserve">using existing resources </w:t>
            </w:r>
            <w:r w:rsidR="006F2278">
              <w:t>not later than April of each year and required the THECB to submit its initial report not later than April 1, 2024</w:t>
            </w:r>
            <w:r>
              <w:t>;</w:t>
            </w:r>
            <w:r w:rsidR="00BB7F5C">
              <w:t xml:space="preserve"> </w:t>
            </w:r>
            <w:r w:rsidR="004A53CB">
              <w:t>and</w:t>
            </w:r>
          </w:p>
          <w:p w14:paraId="26063231" w14:textId="22AED451" w:rsidR="00544C64" w:rsidRDefault="008E4A6F" w:rsidP="00FB5A47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</w:pPr>
            <w:r>
              <w:t>whereas the introduced required the THECB to submit the report to the legislature and statewide officeholders</w:t>
            </w:r>
            <w:r w:rsidR="005E71F3">
              <w:t xml:space="preserve"> without specification of individual recipients</w:t>
            </w:r>
            <w:r w:rsidR="00675C36">
              <w:t>, the substitute specifies the required recipients of the report</w:t>
            </w:r>
            <w:r w:rsidR="004A53CB">
              <w:t>.</w:t>
            </w:r>
          </w:p>
          <w:p w14:paraId="460BADE9" w14:textId="16F248FA" w:rsidR="001F4A40" w:rsidRDefault="008E4A6F" w:rsidP="00FB5A47">
            <w:pPr>
              <w:jc w:val="both"/>
            </w:pPr>
            <w:r>
              <w:t xml:space="preserve">Additionally, the substitute includes provisions not in the introduced that </w:t>
            </w:r>
            <w:r w:rsidR="00BB7F5C">
              <w:t xml:space="preserve">require the THECB </w:t>
            </w:r>
            <w:r>
              <w:t xml:space="preserve">to </w:t>
            </w:r>
            <w:r w:rsidR="00BB7F5C">
              <w:t>set out the procedures for the request of a</w:t>
            </w:r>
            <w:r>
              <w:t xml:space="preserve"> copy of the</w:t>
            </w:r>
            <w:r w:rsidR="00BB7F5C">
              <w:t xml:space="preserve"> report</w:t>
            </w:r>
            <w:r>
              <w:t xml:space="preserve"> and</w:t>
            </w:r>
            <w:r w:rsidR="00BB7F5C">
              <w:t xml:space="preserve"> authorize the THECB to adopt rules as necessary for the administration of the annual reports. </w:t>
            </w:r>
          </w:p>
          <w:p w14:paraId="593CC3AE" w14:textId="77777777" w:rsidR="004A53CB" w:rsidRDefault="004A53CB" w:rsidP="00FB5A47">
            <w:pPr>
              <w:jc w:val="both"/>
            </w:pPr>
          </w:p>
          <w:p w14:paraId="2252DE3F" w14:textId="26A1B19F" w:rsidR="00F96654" w:rsidRDefault="008E4A6F" w:rsidP="00FB5A47">
            <w:pPr>
              <w:jc w:val="both"/>
            </w:pPr>
            <w:r>
              <w:t xml:space="preserve">The substitute </w:t>
            </w:r>
            <w:r w:rsidR="005E71F3">
              <w:t>and</w:t>
            </w:r>
            <w:r>
              <w:t xml:space="preserve"> introduced </w:t>
            </w:r>
            <w:r w:rsidR="005E71F3">
              <w:t xml:space="preserve">both prescribe the </w:t>
            </w:r>
            <w:r>
              <w:t>contents of the required report</w:t>
            </w:r>
            <w:r w:rsidR="005E71F3">
              <w:t xml:space="preserve"> but the</w:t>
            </w:r>
            <w:r w:rsidR="006B4822">
              <w:t>y differ</w:t>
            </w:r>
            <w:r w:rsidR="005E71F3">
              <w:t xml:space="preserve"> as follows</w:t>
            </w:r>
            <w:r>
              <w:t>:</w:t>
            </w:r>
          </w:p>
          <w:p w14:paraId="366ECBD9" w14:textId="3749E643" w:rsidR="00FE4547" w:rsidRDefault="008E4A6F" w:rsidP="00FB5A47">
            <w:pPr>
              <w:pStyle w:val="ListParagraph"/>
              <w:numPr>
                <w:ilvl w:val="0"/>
                <w:numId w:val="6"/>
              </w:numPr>
              <w:contextualSpacing w:val="0"/>
              <w:jc w:val="both"/>
            </w:pPr>
            <w:r>
              <w:t xml:space="preserve">the substitute, but not the introduced, specifies the method through which </w:t>
            </w:r>
            <w:r w:rsidR="00675C36">
              <w:t xml:space="preserve">the THECB </w:t>
            </w:r>
            <w:r>
              <w:t xml:space="preserve">must </w:t>
            </w:r>
            <w:r w:rsidR="00074B49">
              <w:t>determine average first-year wages and placement rate for each yearly cohort</w:t>
            </w:r>
            <w:r>
              <w:t>;</w:t>
            </w:r>
          </w:p>
          <w:p w14:paraId="0935BB32" w14:textId="07D43F1F" w:rsidR="004A53CB" w:rsidRDefault="008E4A6F" w:rsidP="00FB5A47">
            <w:pPr>
              <w:pStyle w:val="ListParagraph"/>
              <w:numPr>
                <w:ilvl w:val="0"/>
                <w:numId w:val="6"/>
              </w:numPr>
              <w:contextualSpacing w:val="0"/>
              <w:jc w:val="both"/>
            </w:pPr>
            <w:r>
              <w:t>the substitute does not include a provision in the introduced specifying that the inform</w:t>
            </w:r>
            <w:r>
              <w:t>ation in the report must be disaggregated by institution;</w:t>
            </w:r>
            <w:r w:rsidR="00FE4547">
              <w:t xml:space="preserve"> and</w:t>
            </w:r>
          </w:p>
          <w:p w14:paraId="7C020058" w14:textId="1927341A" w:rsidR="00074B49" w:rsidRPr="00F96654" w:rsidRDefault="008E4A6F" w:rsidP="00FB5A47">
            <w:pPr>
              <w:pStyle w:val="ListParagraph"/>
              <w:numPr>
                <w:ilvl w:val="0"/>
                <w:numId w:val="6"/>
              </w:numPr>
              <w:contextualSpacing w:val="0"/>
              <w:jc w:val="both"/>
            </w:pPr>
            <w:r>
              <w:t>the substitute includes definitions not in the introduced for certain terms applicable to the required report</w:t>
            </w:r>
            <w:r w:rsidR="009B1ABB">
              <w:t>.</w:t>
            </w:r>
          </w:p>
        </w:tc>
      </w:tr>
      <w:tr w:rsidR="00A1614A" w14:paraId="6DD6312D" w14:textId="77777777" w:rsidTr="00345119">
        <w:tc>
          <w:tcPr>
            <w:tcW w:w="9576" w:type="dxa"/>
          </w:tcPr>
          <w:p w14:paraId="0AB21B83" w14:textId="77777777" w:rsidR="008E0778" w:rsidRPr="009C1E9A" w:rsidRDefault="008E0778" w:rsidP="00FB5A47">
            <w:pPr>
              <w:rPr>
                <w:b/>
                <w:u w:val="single"/>
              </w:rPr>
            </w:pPr>
          </w:p>
        </w:tc>
      </w:tr>
      <w:tr w:rsidR="00A1614A" w14:paraId="0EB9EB4A" w14:textId="77777777" w:rsidTr="00345119">
        <w:tc>
          <w:tcPr>
            <w:tcW w:w="9576" w:type="dxa"/>
          </w:tcPr>
          <w:p w14:paraId="4B68CE29" w14:textId="77777777" w:rsidR="008E0778" w:rsidRPr="008E0778" w:rsidRDefault="008E0778" w:rsidP="00FB5A47">
            <w:pPr>
              <w:jc w:val="both"/>
            </w:pPr>
          </w:p>
        </w:tc>
      </w:tr>
    </w:tbl>
    <w:p w14:paraId="2105E4ED" w14:textId="77777777" w:rsidR="008423E4" w:rsidRPr="00BE0E75" w:rsidRDefault="008423E4" w:rsidP="00FB5A47">
      <w:pPr>
        <w:jc w:val="both"/>
        <w:rPr>
          <w:rFonts w:ascii="Arial" w:hAnsi="Arial"/>
          <w:sz w:val="16"/>
          <w:szCs w:val="16"/>
        </w:rPr>
      </w:pPr>
    </w:p>
    <w:p w14:paraId="7A2C1755" w14:textId="77777777" w:rsidR="004108C3" w:rsidRPr="008423E4" w:rsidRDefault="004108C3" w:rsidP="00FB5A47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024A2" w14:textId="77777777" w:rsidR="00000000" w:rsidRDefault="008E4A6F">
      <w:r>
        <w:separator/>
      </w:r>
    </w:p>
  </w:endnote>
  <w:endnote w:type="continuationSeparator" w:id="0">
    <w:p w14:paraId="3BBA0F2B" w14:textId="77777777" w:rsidR="00000000" w:rsidRDefault="008E4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98EE0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A1614A" w14:paraId="1D76DBF1" w14:textId="77777777" w:rsidTr="009C1E9A">
      <w:trPr>
        <w:cantSplit/>
      </w:trPr>
      <w:tc>
        <w:tcPr>
          <w:tcW w:w="0" w:type="pct"/>
        </w:tcPr>
        <w:p w14:paraId="05CE751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C6FD8E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9E15AC1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5637E7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4F7B21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1614A" w14:paraId="79D70C40" w14:textId="77777777" w:rsidTr="009C1E9A">
      <w:trPr>
        <w:cantSplit/>
      </w:trPr>
      <w:tc>
        <w:tcPr>
          <w:tcW w:w="0" w:type="pct"/>
        </w:tcPr>
        <w:p w14:paraId="73E0750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4F59A02" w14:textId="4F4E2436" w:rsidR="00EC379B" w:rsidRPr="009C1E9A" w:rsidRDefault="008E4A6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28312-D</w:t>
          </w:r>
        </w:p>
      </w:tc>
      <w:tc>
        <w:tcPr>
          <w:tcW w:w="2453" w:type="pct"/>
        </w:tcPr>
        <w:p w14:paraId="5D21EEE7" w14:textId="55672C8E" w:rsidR="00EC379B" w:rsidRDefault="008E4A6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FB5A47">
            <w:t>23.125.1582</w:t>
          </w:r>
          <w:r>
            <w:fldChar w:fldCharType="end"/>
          </w:r>
        </w:p>
      </w:tc>
    </w:tr>
    <w:tr w:rsidR="00A1614A" w14:paraId="79AD38CD" w14:textId="77777777" w:rsidTr="009C1E9A">
      <w:trPr>
        <w:cantSplit/>
      </w:trPr>
      <w:tc>
        <w:tcPr>
          <w:tcW w:w="0" w:type="pct"/>
        </w:tcPr>
        <w:p w14:paraId="49FDE883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CCDCDC5" w14:textId="1BFACBDB" w:rsidR="00EC379B" w:rsidRPr="009C1E9A" w:rsidRDefault="008E4A6F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20302</w:t>
          </w:r>
        </w:p>
      </w:tc>
      <w:tc>
        <w:tcPr>
          <w:tcW w:w="2453" w:type="pct"/>
        </w:tcPr>
        <w:p w14:paraId="6E5BD2C9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3B2492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1614A" w14:paraId="475C233F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569164C" w14:textId="77777777" w:rsidR="00EC379B" w:rsidRDefault="008E4A6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B8924F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4C109F8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7F803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215E8" w14:textId="77777777" w:rsidR="00000000" w:rsidRDefault="008E4A6F">
      <w:r>
        <w:separator/>
      </w:r>
    </w:p>
  </w:footnote>
  <w:footnote w:type="continuationSeparator" w:id="0">
    <w:p w14:paraId="59834DF3" w14:textId="77777777" w:rsidR="00000000" w:rsidRDefault="008E4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F5F18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6B6CA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CB9E4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BF6"/>
    <w:multiLevelType w:val="hybridMultilevel"/>
    <w:tmpl w:val="F4FC1B90"/>
    <w:lvl w:ilvl="0" w:tplc="99E2F9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E6C5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E0D6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D640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36A6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BC68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08C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7AB3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C228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23F67"/>
    <w:multiLevelType w:val="hybridMultilevel"/>
    <w:tmpl w:val="3852F848"/>
    <w:lvl w:ilvl="0" w:tplc="0E58A2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861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DAE5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B021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3805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A46C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00AD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7065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9AFD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612D8"/>
    <w:multiLevelType w:val="hybridMultilevel"/>
    <w:tmpl w:val="4B542908"/>
    <w:lvl w:ilvl="0" w:tplc="FB0467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C0B9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16B2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C8AE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2AC4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A45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FCC6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A652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2E7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76760F"/>
    <w:multiLevelType w:val="hybridMultilevel"/>
    <w:tmpl w:val="EDE29016"/>
    <w:lvl w:ilvl="0" w:tplc="55AE51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B04B7C">
      <w:numFmt w:val="bullet"/>
      <w:lvlText w:val="•"/>
      <w:lvlJc w:val="left"/>
      <w:pPr>
        <w:ind w:left="4148" w:hanging="3068"/>
      </w:pPr>
      <w:rPr>
        <w:rFonts w:ascii="Times New Roman" w:eastAsia="Times New Roman" w:hAnsi="Times New Roman" w:cs="Times New Roman" w:hint="default"/>
      </w:rPr>
    </w:lvl>
    <w:lvl w:ilvl="2" w:tplc="58A41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7CFE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E644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7E5C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54A4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923C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168D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D5E4F"/>
    <w:multiLevelType w:val="hybridMultilevel"/>
    <w:tmpl w:val="A94EA7FE"/>
    <w:lvl w:ilvl="0" w:tplc="646E5A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B453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8C3B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CC83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1026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7A8F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B21A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3C4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E2A9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85BF0"/>
    <w:multiLevelType w:val="hybridMultilevel"/>
    <w:tmpl w:val="A6E2B208"/>
    <w:lvl w:ilvl="0" w:tplc="F09C4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4234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1239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FAE7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D01B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D6F8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8608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3640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FAC8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407217">
    <w:abstractNumId w:val="5"/>
  </w:num>
  <w:num w:numId="2" w16cid:durableId="740517192">
    <w:abstractNumId w:val="3"/>
  </w:num>
  <w:num w:numId="3" w16cid:durableId="158740164">
    <w:abstractNumId w:val="2"/>
  </w:num>
  <w:num w:numId="4" w16cid:durableId="39483579">
    <w:abstractNumId w:val="1"/>
  </w:num>
  <w:num w:numId="5" w16cid:durableId="1929072230">
    <w:abstractNumId w:val="4"/>
  </w:num>
  <w:num w:numId="6" w16cid:durableId="331225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B81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614B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4B49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2FC2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57C01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4A40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7C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3D5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53CB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370E4"/>
    <w:rsid w:val="00537ADA"/>
    <w:rsid w:val="00541B98"/>
    <w:rsid w:val="00543374"/>
    <w:rsid w:val="00544C6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79F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1F3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2225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6C6D"/>
    <w:rsid w:val="006402E7"/>
    <w:rsid w:val="00640CB6"/>
    <w:rsid w:val="00641B42"/>
    <w:rsid w:val="00645750"/>
    <w:rsid w:val="00647CE1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75C36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A710F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4822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2278"/>
    <w:rsid w:val="006F261E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48EA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0CF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53E5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A4C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0778"/>
    <w:rsid w:val="008E3338"/>
    <w:rsid w:val="008E47BE"/>
    <w:rsid w:val="008E4A6F"/>
    <w:rsid w:val="008F08B8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5A34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76E4B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15E4"/>
    <w:rsid w:val="0099403D"/>
    <w:rsid w:val="00995B0B"/>
    <w:rsid w:val="009A1883"/>
    <w:rsid w:val="009A39F5"/>
    <w:rsid w:val="009A4588"/>
    <w:rsid w:val="009A5EA5"/>
    <w:rsid w:val="009B00C2"/>
    <w:rsid w:val="009B1ABB"/>
    <w:rsid w:val="009B26AB"/>
    <w:rsid w:val="009B2D7E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244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1614A"/>
    <w:rsid w:val="00A220FF"/>
    <w:rsid w:val="00A227E0"/>
    <w:rsid w:val="00A232E4"/>
    <w:rsid w:val="00A24AAD"/>
    <w:rsid w:val="00A26A8A"/>
    <w:rsid w:val="00A27255"/>
    <w:rsid w:val="00A32304"/>
    <w:rsid w:val="00A3420E"/>
    <w:rsid w:val="00A34BCC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0B81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D7FC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B7F5C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29E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1FD4"/>
    <w:rsid w:val="00C3223B"/>
    <w:rsid w:val="00C333C6"/>
    <w:rsid w:val="00C35CC5"/>
    <w:rsid w:val="00C361C5"/>
    <w:rsid w:val="00C377D1"/>
    <w:rsid w:val="00C37BDA"/>
    <w:rsid w:val="00C37C43"/>
    <w:rsid w:val="00C37C84"/>
    <w:rsid w:val="00C42B41"/>
    <w:rsid w:val="00C46166"/>
    <w:rsid w:val="00C4710D"/>
    <w:rsid w:val="00C50CAD"/>
    <w:rsid w:val="00C5789F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0CEA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6B5D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1DE6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A7F9E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3F9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5FBC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2D90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6654"/>
    <w:rsid w:val="00F9735A"/>
    <w:rsid w:val="00FA32FC"/>
    <w:rsid w:val="00FA59FD"/>
    <w:rsid w:val="00FA5D8C"/>
    <w:rsid w:val="00FA6403"/>
    <w:rsid w:val="00FB16CD"/>
    <w:rsid w:val="00FB5A47"/>
    <w:rsid w:val="00FB73AE"/>
    <w:rsid w:val="00FC5388"/>
    <w:rsid w:val="00FC726C"/>
    <w:rsid w:val="00FD1B4B"/>
    <w:rsid w:val="00FD1B94"/>
    <w:rsid w:val="00FD5D51"/>
    <w:rsid w:val="00FE19C5"/>
    <w:rsid w:val="00FE4286"/>
    <w:rsid w:val="00FE4547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F159871-8D32-4D48-851B-33029B096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60B8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60B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60B8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60B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60B81"/>
    <w:rPr>
      <w:b/>
      <w:bCs/>
    </w:rPr>
  </w:style>
  <w:style w:type="paragraph" w:styleId="ListParagraph">
    <w:name w:val="List Paragraph"/>
    <w:basedOn w:val="Normal"/>
    <w:uiPriority w:val="34"/>
    <w:qFormat/>
    <w:rsid w:val="001F4A40"/>
    <w:pPr>
      <w:ind w:left="720"/>
      <w:contextualSpacing/>
    </w:pPr>
  </w:style>
  <w:style w:type="paragraph" w:styleId="Revision">
    <w:name w:val="Revision"/>
    <w:hidden/>
    <w:uiPriority w:val="99"/>
    <w:semiHidden/>
    <w:rsid w:val="00DF03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1146</Words>
  <Characters>6314</Characters>
  <Application>Microsoft Office Word</Application>
  <DocSecurity>4</DocSecurity>
  <Lines>129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HB03296 (Committee Report (Substituted))</vt:lpstr>
    </vt:vector>
  </TitlesOfParts>
  <Company>State of Texas</Company>
  <LinksUpToDate>false</LinksUpToDate>
  <CharactersWithSpaces>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28312</dc:subject>
  <dc:creator>State of Texas</dc:creator>
  <dc:description>HB 3296 by Raney-(H)Higher Education (Substitute Document Number: 88R 20302)</dc:description>
  <cp:lastModifiedBy>Damian Duarte</cp:lastModifiedBy>
  <cp:revision>2</cp:revision>
  <cp:lastPrinted>2003-11-26T17:21:00Z</cp:lastPrinted>
  <dcterms:created xsi:type="dcterms:W3CDTF">2023-05-06T18:43:00Z</dcterms:created>
  <dcterms:modified xsi:type="dcterms:W3CDTF">2023-05-06T18:43:00Z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23.125.1582</vt:lpwstr>
  </property>
</Properties>
</file>