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674E7C" w14:paraId="7836E1F5" w14:textId="77777777" w:rsidTr="00345119">
        <w:tc>
          <w:tcPr>
            <w:tcW w:w="9576" w:type="dxa"/>
            <w:noWrap/>
          </w:tcPr>
          <w:p w14:paraId="6E3B68F8" w14:textId="77777777" w:rsidR="008423E4" w:rsidRPr="0022177D" w:rsidRDefault="005E6A0D" w:rsidP="00162440">
            <w:pPr>
              <w:pStyle w:val="Heading1"/>
            </w:pPr>
            <w:r w:rsidRPr="00631897">
              <w:t>BILL ANALYSIS</w:t>
            </w:r>
          </w:p>
        </w:tc>
      </w:tr>
    </w:tbl>
    <w:p w14:paraId="6C877B8C" w14:textId="77777777" w:rsidR="008423E4" w:rsidRPr="0022177D" w:rsidRDefault="008423E4" w:rsidP="00162440">
      <w:pPr>
        <w:jc w:val="center"/>
      </w:pPr>
    </w:p>
    <w:p w14:paraId="249B9A54" w14:textId="77777777" w:rsidR="008423E4" w:rsidRPr="00B31F0E" w:rsidRDefault="008423E4" w:rsidP="00162440"/>
    <w:p w14:paraId="007C54B9" w14:textId="77777777" w:rsidR="008423E4" w:rsidRPr="00742794" w:rsidRDefault="008423E4" w:rsidP="00162440">
      <w:pPr>
        <w:tabs>
          <w:tab w:val="right" w:pos="9360"/>
        </w:tabs>
      </w:pPr>
    </w:p>
    <w:tbl>
      <w:tblPr>
        <w:tblW w:w="0" w:type="auto"/>
        <w:tblLayout w:type="fixed"/>
        <w:tblLook w:val="01E0" w:firstRow="1" w:lastRow="1" w:firstColumn="1" w:lastColumn="1" w:noHBand="0" w:noVBand="0"/>
      </w:tblPr>
      <w:tblGrid>
        <w:gridCol w:w="9576"/>
      </w:tblGrid>
      <w:tr w:rsidR="00674E7C" w14:paraId="4EF0AD39" w14:textId="77777777" w:rsidTr="00345119">
        <w:tc>
          <w:tcPr>
            <w:tcW w:w="9576" w:type="dxa"/>
          </w:tcPr>
          <w:p w14:paraId="3CCAE645" w14:textId="665015D4" w:rsidR="008423E4" w:rsidRPr="00861995" w:rsidRDefault="005E6A0D" w:rsidP="00162440">
            <w:pPr>
              <w:jc w:val="right"/>
            </w:pPr>
            <w:r>
              <w:t>C.S.H.B. 3322</w:t>
            </w:r>
          </w:p>
        </w:tc>
      </w:tr>
      <w:tr w:rsidR="00674E7C" w14:paraId="5DB1E70C" w14:textId="77777777" w:rsidTr="00345119">
        <w:tc>
          <w:tcPr>
            <w:tcW w:w="9576" w:type="dxa"/>
          </w:tcPr>
          <w:p w14:paraId="023245F1" w14:textId="29625BCE" w:rsidR="008423E4" w:rsidRPr="00861995" w:rsidRDefault="005E6A0D" w:rsidP="00162440">
            <w:pPr>
              <w:jc w:val="right"/>
            </w:pPr>
            <w:r>
              <w:t xml:space="preserve">By: </w:t>
            </w:r>
            <w:r w:rsidR="000B20FD">
              <w:t>Goodwin</w:t>
            </w:r>
          </w:p>
        </w:tc>
      </w:tr>
      <w:tr w:rsidR="00674E7C" w14:paraId="5D04FD0C" w14:textId="77777777" w:rsidTr="00345119">
        <w:tc>
          <w:tcPr>
            <w:tcW w:w="9576" w:type="dxa"/>
          </w:tcPr>
          <w:p w14:paraId="0CF98F8E" w14:textId="3D68B5FE" w:rsidR="008423E4" w:rsidRPr="00861995" w:rsidRDefault="005E6A0D" w:rsidP="00162440">
            <w:pPr>
              <w:jc w:val="right"/>
            </w:pPr>
            <w:r>
              <w:t>Agriculture &amp; Livestock</w:t>
            </w:r>
          </w:p>
        </w:tc>
      </w:tr>
      <w:tr w:rsidR="00674E7C" w14:paraId="17680192" w14:textId="77777777" w:rsidTr="00345119">
        <w:tc>
          <w:tcPr>
            <w:tcW w:w="9576" w:type="dxa"/>
          </w:tcPr>
          <w:p w14:paraId="236C939F" w14:textId="751AA80A" w:rsidR="008423E4" w:rsidRDefault="005E6A0D" w:rsidP="00162440">
            <w:pPr>
              <w:jc w:val="right"/>
            </w:pPr>
            <w:r>
              <w:t>Committee Report (Substituted)</w:t>
            </w:r>
          </w:p>
        </w:tc>
      </w:tr>
    </w:tbl>
    <w:p w14:paraId="0C110A78" w14:textId="77777777" w:rsidR="008423E4" w:rsidRDefault="008423E4" w:rsidP="00162440">
      <w:pPr>
        <w:tabs>
          <w:tab w:val="right" w:pos="9360"/>
        </w:tabs>
      </w:pPr>
    </w:p>
    <w:p w14:paraId="04CB5B90" w14:textId="77777777" w:rsidR="008423E4" w:rsidRDefault="008423E4" w:rsidP="00162440"/>
    <w:p w14:paraId="08845F1C" w14:textId="77777777" w:rsidR="008423E4" w:rsidRDefault="008423E4" w:rsidP="00162440"/>
    <w:tbl>
      <w:tblPr>
        <w:tblW w:w="0" w:type="auto"/>
        <w:tblCellMar>
          <w:left w:w="115" w:type="dxa"/>
          <w:right w:w="115" w:type="dxa"/>
        </w:tblCellMar>
        <w:tblLook w:val="01E0" w:firstRow="1" w:lastRow="1" w:firstColumn="1" w:lastColumn="1" w:noHBand="0" w:noVBand="0"/>
      </w:tblPr>
      <w:tblGrid>
        <w:gridCol w:w="9360"/>
      </w:tblGrid>
      <w:tr w:rsidR="00674E7C" w14:paraId="1B3FA8A1" w14:textId="77777777" w:rsidTr="00345119">
        <w:tc>
          <w:tcPr>
            <w:tcW w:w="9576" w:type="dxa"/>
          </w:tcPr>
          <w:p w14:paraId="594166B3" w14:textId="77777777" w:rsidR="008423E4" w:rsidRPr="00A8133F" w:rsidRDefault="005E6A0D" w:rsidP="00162440">
            <w:pPr>
              <w:rPr>
                <w:b/>
              </w:rPr>
            </w:pPr>
            <w:r w:rsidRPr="009C1E9A">
              <w:rPr>
                <w:b/>
                <w:u w:val="single"/>
              </w:rPr>
              <w:t>BACKGROUND AND PURPOSE</w:t>
            </w:r>
            <w:r>
              <w:rPr>
                <w:b/>
              </w:rPr>
              <w:t xml:space="preserve"> </w:t>
            </w:r>
          </w:p>
          <w:p w14:paraId="3D0DBD57" w14:textId="77777777" w:rsidR="008423E4" w:rsidRDefault="008423E4" w:rsidP="00162440"/>
          <w:p w14:paraId="5F09D42B" w14:textId="77777777" w:rsidR="008423E4" w:rsidRDefault="005E6A0D" w:rsidP="00162440">
            <w:pPr>
              <w:pStyle w:val="Header"/>
              <w:tabs>
                <w:tab w:val="clear" w:pos="4320"/>
                <w:tab w:val="clear" w:pos="8640"/>
              </w:tabs>
              <w:jc w:val="both"/>
            </w:pPr>
            <w:r>
              <w:t xml:space="preserve">According to Feeding Texas, </w:t>
            </w:r>
            <w:r w:rsidR="006C1D07">
              <w:t>one</w:t>
            </w:r>
            <w:r>
              <w:t xml:space="preserve"> in </w:t>
            </w:r>
            <w:r w:rsidR="006C1D07">
              <w:t xml:space="preserve">eight </w:t>
            </w:r>
            <w:r>
              <w:t>Texans experience</w:t>
            </w:r>
            <w:r w:rsidR="0014723D">
              <w:t>s</w:t>
            </w:r>
            <w:r>
              <w:t xml:space="preserve"> food insecurity. Texas is also one of nine states above the national average when it comes to food insecurity, according to the U.S. Department of Agriculture. </w:t>
            </w:r>
            <w:r w:rsidR="00C75491">
              <w:t>C.S.H.B.</w:t>
            </w:r>
            <w:r>
              <w:t xml:space="preserve"> 3322 </w:t>
            </w:r>
            <w:r w:rsidR="00C75491">
              <w:t xml:space="preserve">seeks to address this issue by </w:t>
            </w:r>
            <w:r>
              <w:t>establish</w:t>
            </w:r>
            <w:r w:rsidR="00C75491">
              <w:t>ing</w:t>
            </w:r>
            <w:r>
              <w:t xml:space="preserve"> an </w:t>
            </w:r>
            <w:r w:rsidR="006C1D07">
              <w:t>o</w:t>
            </w:r>
            <w:r>
              <w:t xml:space="preserve">ffice of </w:t>
            </w:r>
            <w:r w:rsidR="006C1D07">
              <w:t>f</w:t>
            </w:r>
            <w:r>
              <w:t xml:space="preserve">ood </w:t>
            </w:r>
            <w:r w:rsidR="006C1D07">
              <w:t>s</w:t>
            </w:r>
            <w:r>
              <w:t xml:space="preserve">ystem </w:t>
            </w:r>
            <w:r w:rsidR="006C1D07">
              <w:t>s</w:t>
            </w:r>
            <w:r>
              <w:t>ecurity and</w:t>
            </w:r>
            <w:r>
              <w:t xml:space="preserve"> </w:t>
            </w:r>
            <w:r w:rsidR="006C1D07">
              <w:t>r</w:t>
            </w:r>
            <w:r>
              <w:t xml:space="preserve">esiliency </w:t>
            </w:r>
            <w:r w:rsidR="006C1D07">
              <w:t xml:space="preserve">within </w:t>
            </w:r>
            <w:r>
              <w:t>the Texas Department of Agriculture</w:t>
            </w:r>
            <w:r w:rsidR="00C75491">
              <w:t xml:space="preserve"> (TDA)</w:t>
            </w:r>
            <w:r>
              <w:t xml:space="preserve">. </w:t>
            </w:r>
            <w:r w:rsidR="00C75491">
              <w:t>The</w:t>
            </w:r>
            <w:r>
              <w:t xml:space="preserve"> office will serve multiple purposes, including helping coordinate and facilitate cooperation among food access and industry professionals and working to maximize the reach and efficacy of pr</w:t>
            </w:r>
            <w:r>
              <w:t xml:space="preserve">e-existing food security and access programs. Establishing such an office was </w:t>
            </w:r>
            <w:r w:rsidR="00C75491">
              <w:t>a</w:t>
            </w:r>
            <w:r>
              <w:t xml:space="preserve"> recommendation of the Texas Food Access Study released in late December</w:t>
            </w:r>
            <w:r w:rsidR="00136825">
              <w:t xml:space="preserve"> </w:t>
            </w:r>
            <w:r w:rsidR="00F10F60">
              <w:t>2022</w:t>
            </w:r>
            <w:r>
              <w:t xml:space="preserve"> by </w:t>
            </w:r>
            <w:r w:rsidR="00C75491">
              <w:t>TDA</w:t>
            </w:r>
            <w:r>
              <w:t>.</w:t>
            </w:r>
          </w:p>
          <w:p w14:paraId="6147D192" w14:textId="59BDBD08" w:rsidR="00162440" w:rsidRPr="00E26B13" w:rsidRDefault="00162440" w:rsidP="00162440">
            <w:pPr>
              <w:pStyle w:val="Header"/>
              <w:tabs>
                <w:tab w:val="clear" w:pos="4320"/>
                <w:tab w:val="clear" w:pos="8640"/>
              </w:tabs>
              <w:jc w:val="both"/>
              <w:rPr>
                <w:b/>
              </w:rPr>
            </w:pPr>
          </w:p>
        </w:tc>
      </w:tr>
      <w:tr w:rsidR="00674E7C" w14:paraId="54C6A342" w14:textId="77777777" w:rsidTr="00345119">
        <w:tc>
          <w:tcPr>
            <w:tcW w:w="9576" w:type="dxa"/>
          </w:tcPr>
          <w:p w14:paraId="7434F31D" w14:textId="77777777" w:rsidR="0017725B" w:rsidRDefault="005E6A0D" w:rsidP="00162440">
            <w:pPr>
              <w:rPr>
                <w:b/>
                <w:u w:val="single"/>
              </w:rPr>
            </w:pPr>
            <w:r>
              <w:rPr>
                <w:b/>
                <w:u w:val="single"/>
              </w:rPr>
              <w:t>CRIMINAL JUSTICE IMPACT</w:t>
            </w:r>
          </w:p>
          <w:p w14:paraId="2E5F9C71" w14:textId="77777777" w:rsidR="0017725B" w:rsidRDefault="0017725B" w:rsidP="00162440">
            <w:pPr>
              <w:rPr>
                <w:b/>
                <w:u w:val="single"/>
              </w:rPr>
            </w:pPr>
          </w:p>
          <w:p w14:paraId="3D2CE728" w14:textId="7EACB73A" w:rsidR="00A63061" w:rsidRPr="00A63061" w:rsidRDefault="005E6A0D" w:rsidP="00162440">
            <w:pPr>
              <w:jc w:val="both"/>
            </w:pPr>
            <w:r>
              <w:t xml:space="preserve">It is the committee's opinion that this bill does not </w:t>
            </w:r>
            <w:r>
              <w:t>expressly create a criminal offense, increase the punishment for an existing criminal offense or category of offenses, or change the eligibility of a person for community supervision, parole, or mandatory supervision.</w:t>
            </w:r>
          </w:p>
          <w:p w14:paraId="42C32DF3" w14:textId="77777777" w:rsidR="0017725B" w:rsidRPr="0017725B" w:rsidRDefault="0017725B" w:rsidP="00162440">
            <w:pPr>
              <w:rPr>
                <w:b/>
                <w:u w:val="single"/>
              </w:rPr>
            </w:pPr>
          </w:p>
        </w:tc>
      </w:tr>
      <w:tr w:rsidR="00674E7C" w14:paraId="4DC2E01B" w14:textId="77777777" w:rsidTr="00345119">
        <w:tc>
          <w:tcPr>
            <w:tcW w:w="9576" w:type="dxa"/>
          </w:tcPr>
          <w:p w14:paraId="63720EF7" w14:textId="77777777" w:rsidR="008423E4" w:rsidRPr="00A8133F" w:rsidRDefault="005E6A0D" w:rsidP="00162440">
            <w:pPr>
              <w:rPr>
                <w:b/>
              </w:rPr>
            </w:pPr>
            <w:r w:rsidRPr="009C1E9A">
              <w:rPr>
                <w:b/>
                <w:u w:val="single"/>
              </w:rPr>
              <w:t>RULEMAKING AUTHORITY</w:t>
            </w:r>
            <w:r>
              <w:rPr>
                <w:b/>
              </w:rPr>
              <w:t xml:space="preserve"> </w:t>
            </w:r>
          </w:p>
          <w:p w14:paraId="29B4FA77" w14:textId="77777777" w:rsidR="008423E4" w:rsidRDefault="008423E4" w:rsidP="00162440"/>
          <w:p w14:paraId="1EB11C71" w14:textId="0B9CD98B" w:rsidR="00A63061" w:rsidRDefault="005E6A0D" w:rsidP="00162440">
            <w:pPr>
              <w:pStyle w:val="Header"/>
              <w:tabs>
                <w:tab w:val="clear" w:pos="4320"/>
                <w:tab w:val="clear" w:pos="8640"/>
              </w:tabs>
              <w:jc w:val="both"/>
            </w:pPr>
            <w:r>
              <w:t>It is the com</w:t>
            </w:r>
            <w:r>
              <w:t>mittee's opinion that this bill does not expressly grant any additional rulemaking authority to a state officer, department, agency, or institution.</w:t>
            </w:r>
          </w:p>
          <w:p w14:paraId="61F6A272" w14:textId="77777777" w:rsidR="008423E4" w:rsidRPr="00E21FDC" w:rsidRDefault="008423E4" w:rsidP="00162440">
            <w:pPr>
              <w:rPr>
                <w:b/>
              </w:rPr>
            </w:pPr>
          </w:p>
        </w:tc>
      </w:tr>
      <w:tr w:rsidR="00674E7C" w14:paraId="737FC41B" w14:textId="77777777" w:rsidTr="00345119">
        <w:tc>
          <w:tcPr>
            <w:tcW w:w="9576" w:type="dxa"/>
          </w:tcPr>
          <w:p w14:paraId="481C4CD7" w14:textId="77777777" w:rsidR="008423E4" w:rsidRPr="00A8133F" w:rsidRDefault="005E6A0D" w:rsidP="00162440">
            <w:pPr>
              <w:rPr>
                <w:b/>
              </w:rPr>
            </w:pPr>
            <w:r w:rsidRPr="009C1E9A">
              <w:rPr>
                <w:b/>
                <w:u w:val="single"/>
              </w:rPr>
              <w:t>ANALYSIS</w:t>
            </w:r>
            <w:r>
              <w:rPr>
                <w:b/>
              </w:rPr>
              <w:t xml:space="preserve"> </w:t>
            </w:r>
          </w:p>
          <w:p w14:paraId="00BCB691" w14:textId="77777777" w:rsidR="008423E4" w:rsidRDefault="008423E4" w:rsidP="00162440"/>
          <w:p w14:paraId="62B47FB6" w14:textId="65AE38E8" w:rsidR="009C36CD" w:rsidRDefault="005E6A0D" w:rsidP="00162440">
            <w:pPr>
              <w:pStyle w:val="Header"/>
              <w:tabs>
                <w:tab w:val="clear" w:pos="4320"/>
                <w:tab w:val="clear" w:pos="8640"/>
              </w:tabs>
              <w:jc w:val="both"/>
            </w:pPr>
            <w:r>
              <w:t>C.S.</w:t>
            </w:r>
            <w:r w:rsidR="002F5FEC">
              <w:t xml:space="preserve">H.B. 3322 amends the Agriculture Code to establish the </w:t>
            </w:r>
            <w:r w:rsidR="002F5FEC" w:rsidRPr="002F5FEC">
              <w:t xml:space="preserve">office of food system security and resiliency as a division within the </w:t>
            </w:r>
            <w:r w:rsidR="002F5FEC">
              <w:t>D</w:t>
            </w:r>
            <w:r w:rsidR="002F5FEC" w:rsidRPr="002F5FEC">
              <w:t>epartment</w:t>
            </w:r>
            <w:r w:rsidR="002F5FEC">
              <w:t xml:space="preserve"> of Agriculture. The bill makes the office responsible for </w:t>
            </w:r>
            <w:r w:rsidR="002F5FEC" w:rsidRPr="002F5FEC">
              <w:t xml:space="preserve">food system security and resiliency in </w:t>
            </w:r>
            <w:r w:rsidR="002F5FEC">
              <w:t>Texas</w:t>
            </w:r>
            <w:r w:rsidR="002F5FEC" w:rsidRPr="002F5FEC">
              <w:t>, including</w:t>
            </w:r>
            <w:r w:rsidR="002F5FEC">
              <w:t xml:space="preserve"> the following</w:t>
            </w:r>
            <w:r w:rsidR="002F5FEC" w:rsidRPr="002F5FEC">
              <w:t>:</w:t>
            </w:r>
          </w:p>
          <w:p w14:paraId="58019F38" w14:textId="309FB95E" w:rsidR="002F5FEC" w:rsidRDefault="005E6A0D" w:rsidP="00162440">
            <w:pPr>
              <w:pStyle w:val="Header"/>
              <w:numPr>
                <w:ilvl w:val="0"/>
                <w:numId w:val="1"/>
              </w:numPr>
              <w:jc w:val="both"/>
            </w:pPr>
            <w:r>
              <w:t>coordinating state resources and programs so food access industry professionals can efficiently use resources to meet the needs of Texas;</w:t>
            </w:r>
          </w:p>
          <w:p w14:paraId="0831DC86" w14:textId="4A49B9FA" w:rsidR="002F5FEC" w:rsidRDefault="005E6A0D" w:rsidP="00162440">
            <w:pPr>
              <w:pStyle w:val="Header"/>
              <w:numPr>
                <w:ilvl w:val="0"/>
                <w:numId w:val="1"/>
              </w:numPr>
              <w:jc w:val="both"/>
            </w:pPr>
            <w:r>
              <w:t>ensuring a food system in Texas that is free of disruption;</w:t>
            </w:r>
          </w:p>
          <w:p w14:paraId="3493C758" w14:textId="7620E18B" w:rsidR="002F5FEC" w:rsidRDefault="005E6A0D" w:rsidP="00162440">
            <w:pPr>
              <w:pStyle w:val="Header"/>
              <w:numPr>
                <w:ilvl w:val="0"/>
                <w:numId w:val="1"/>
              </w:numPr>
              <w:jc w:val="both"/>
            </w:pPr>
            <w:r>
              <w:t>promoting the growth, manufacture, and processin</w:t>
            </w:r>
            <w:r>
              <w:t xml:space="preserve">g of agricultural products in Texas for farm-to-store and farm-to-table consumption; </w:t>
            </w:r>
          </w:p>
          <w:p w14:paraId="08FEABFB" w14:textId="667992E5" w:rsidR="002F5FEC" w:rsidRDefault="005E6A0D" w:rsidP="00162440">
            <w:pPr>
              <w:pStyle w:val="Header"/>
              <w:numPr>
                <w:ilvl w:val="0"/>
                <w:numId w:val="1"/>
              </w:numPr>
              <w:jc w:val="both"/>
            </w:pPr>
            <w:r>
              <w:t>developing regional food system security and resiliency planning by working with other state agencies, counties, municipalities, school districts, and local governments</w:t>
            </w:r>
            <w:r w:rsidR="005064D4">
              <w:t>;</w:t>
            </w:r>
            <w:r w:rsidR="007726C6">
              <w:t xml:space="preserve"> and</w:t>
            </w:r>
          </w:p>
          <w:p w14:paraId="62500B72" w14:textId="0422381C" w:rsidR="005064D4" w:rsidRDefault="005E6A0D" w:rsidP="00162440">
            <w:pPr>
              <w:pStyle w:val="Header"/>
              <w:numPr>
                <w:ilvl w:val="0"/>
                <w:numId w:val="1"/>
              </w:numPr>
              <w:jc w:val="both"/>
            </w:pPr>
            <w:r>
              <w:t>promoting policies to establish more localized food markets or food access points through measures such as connecting retailers, distributors, municipalities, counties, school districts, and other local governments to local producers and</w:t>
            </w:r>
            <w:r w:rsidR="007726C6">
              <w:t xml:space="preserve"> </w:t>
            </w:r>
            <w:r>
              <w:t xml:space="preserve">collaborating </w:t>
            </w:r>
            <w:r>
              <w:t xml:space="preserve">with local stakeholders to expand food access across </w:t>
            </w:r>
            <w:r w:rsidR="00417F1D">
              <w:t>Texas</w:t>
            </w:r>
            <w:r>
              <w:t>.</w:t>
            </w:r>
          </w:p>
          <w:p w14:paraId="51A09458" w14:textId="77777777" w:rsidR="007726C6" w:rsidRDefault="007726C6" w:rsidP="00162440">
            <w:pPr>
              <w:pStyle w:val="Header"/>
              <w:ind w:left="720"/>
              <w:jc w:val="both"/>
            </w:pPr>
          </w:p>
          <w:p w14:paraId="7821243E" w14:textId="2353BEC3" w:rsidR="002F5FEC" w:rsidRPr="009C36CD" w:rsidRDefault="005E6A0D" w:rsidP="00162440">
            <w:pPr>
              <w:pStyle w:val="Header"/>
              <w:jc w:val="both"/>
            </w:pPr>
            <w:r>
              <w:t xml:space="preserve">C.S.H.B. 3322 requires the office, </w:t>
            </w:r>
            <w:r w:rsidRPr="002F5FEC">
              <w:t>not later than December 1 of each even-numbered year,</w:t>
            </w:r>
            <w:r>
              <w:t xml:space="preserve"> to</w:t>
            </w:r>
            <w:r w:rsidRPr="002F5FEC">
              <w:t xml:space="preserve"> make</w:t>
            </w:r>
            <w:r w:rsidR="00A63061">
              <w:t xml:space="preserve"> legislative</w:t>
            </w:r>
            <w:r w:rsidRPr="002F5FEC">
              <w:t xml:space="preserve"> recommendations to the legislature</w:t>
            </w:r>
            <w:r w:rsidR="00A63061">
              <w:t xml:space="preserve"> </w:t>
            </w:r>
            <w:r w:rsidRPr="002F5FEC">
              <w:t>that may improve food system security and resilienc</w:t>
            </w:r>
            <w:r w:rsidRPr="002F5FEC">
              <w:t xml:space="preserve">y in </w:t>
            </w:r>
            <w:r>
              <w:t>Texas</w:t>
            </w:r>
            <w:r w:rsidRPr="002F5FEC">
              <w:t>.</w:t>
            </w:r>
            <w:r w:rsidR="00A63061">
              <w:t xml:space="preserve"> </w:t>
            </w:r>
            <w:r w:rsidR="007726C6">
              <w:t xml:space="preserve">If the </w:t>
            </w:r>
            <w:r w:rsidR="00A63061" w:rsidRPr="00A63061">
              <w:t>Texas food system security and resiliency planning council is established by an Act of the 88th Legislature, Regular Session</w:t>
            </w:r>
            <w:r w:rsidR="007726C6">
              <w:t xml:space="preserve">, the office must </w:t>
            </w:r>
            <w:r w:rsidR="007726C6" w:rsidRPr="00A63061">
              <w:t xml:space="preserve">manage </w:t>
            </w:r>
            <w:r w:rsidR="007726C6">
              <w:t xml:space="preserve">the council and coordinate with the council to </w:t>
            </w:r>
            <w:r w:rsidR="002629AF">
              <w:t>promote policies to</w:t>
            </w:r>
            <w:r w:rsidR="007726C6" w:rsidRPr="007726C6">
              <w:t xml:space="preserve"> </w:t>
            </w:r>
            <w:r w:rsidR="00CB1D91" w:rsidRPr="00CB1D91">
              <w:t>establish more localized food markets or food access points</w:t>
            </w:r>
            <w:r w:rsidR="00CB1D91">
              <w:t>.</w:t>
            </w:r>
          </w:p>
          <w:p w14:paraId="41945B4F" w14:textId="77777777" w:rsidR="008423E4" w:rsidRPr="00835628" w:rsidRDefault="008423E4" w:rsidP="00162440">
            <w:pPr>
              <w:rPr>
                <w:b/>
              </w:rPr>
            </w:pPr>
          </w:p>
        </w:tc>
      </w:tr>
      <w:tr w:rsidR="00674E7C" w14:paraId="18BFE143" w14:textId="77777777" w:rsidTr="00345119">
        <w:tc>
          <w:tcPr>
            <w:tcW w:w="9576" w:type="dxa"/>
          </w:tcPr>
          <w:p w14:paraId="07933AEB" w14:textId="77777777" w:rsidR="008423E4" w:rsidRPr="00A8133F" w:rsidRDefault="005E6A0D" w:rsidP="00162440">
            <w:pPr>
              <w:rPr>
                <w:b/>
              </w:rPr>
            </w:pPr>
            <w:r w:rsidRPr="009C1E9A">
              <w:rPr>
                <w:b/>
                <w:u w:val="single"/>
              </w:rPr>
              <w:t>EFFECTIVE DATE</w:t>
            </w:r>
            <w:r>
              <w:rPr>
                <w:b/>
              </w:rPr>
              <w:t xml:space="preserve"> </w:t>
            </w:r>
          </w:p>
          <w:p w14:paraId="36480DA2" w14:textId="77777777" w:rsidR="008423E4" w:rsidRDefault="008423E4" w:rsidP="00162440"/>
          <w:p w14:paraId="053FC58A" w14:textId="42FE3A22" w:rsidR="008423E4" w:rsidRPr="003624F2" w:rsidRDefault="005E6A0D" w:rsidP="00162440">
            <w:pPr>
              <w:pStyle w:val="Header"/>
              <w:tabs>
                <w:tab w:val="clear" w:pos="4320"/>
                <w:tab w:val="clear" w:pos="8640"/>
              </w:tabs>
              <w:jc w:val="both"/>
            </w:pPr>
            <w:r>
              <w:t>September 1, 2023.</w:t>
            </w:r>
          </w:p>
          <w:p w14:paraId="7A89EFC2" w14:textId="77777777" w:rsidR="008423E4" w:rsidRPr="00233FDB" w:rsidRDefault="008423E4" w:rsidP="00162440">
            <w:pPr>
              <w:rPr>
                <w:b/>
              </w:rPr>
            </w:pPr>
          </w:p>
        </w:tc>
      </w:tr>
      <w:tr w:rsidR="00674E7C" w14:paraId="2153FADE" w14:textId="77777777" w:rsidTr="00345119">
        <w:tc>
          <w:tcPr>
            <w:tcW w:w="9576" w:type="dxa"/>
          </w:tcPr>
          <w:p w14:paraId="3753099B" w14:textId="77777777" w:rsidR="000B20FD" w:rsidRDefault="005E6A0D" w:rsidP="00162440">
            <w:pPr>
              <w:jc w:val="both"/>
              <w:rPr>
                <w:b/>
                <w:u w:val="single"/>
              </w:rPr>
            </w:pPr>
            <w:r>
              <w:rPr>
                <w:b/>
                <w:u w:val="single"/>
              </w:rPr>
              <w:t>COMPARISON OF INTRODUCED AND SUBSTITUTE</w:t>
            </w:r>
          </w:p>
          <w:p w14:paraId="20EE80BD" w14:textId="77777777" w:rsidR="007726C6" w:rsidRDefault="007726C6" w:rsidP="00162440">
            <w:pPr>
              <w:jc w:val="both"/>
            </w:pPr>
          </w:p>
          <w:p w14:paraId="030C76F2" w14:textId="5FD1BC45" w:rsidR="007726C6" w:rsidRDefault="005E6A0D" w:rsidP="00162440">
            <w:pPr>
              <w:jc w:val="both"/>
            </w:pPr>
            <w:r>
              <w:t>While C.S.H.B. 3322 may differ from the introduced in minor or nonsubstantive ways, the following summarizes the substantial differences between the introduced and committee substitute versions of the bill.</w:t>
            </w:r>
          </w:p>
          <w:p w14:paraId="0C3099C2" w14:textId="53BCD2C4" w:rsidR="007726C6" w:rsidRDefault="007726C6" w:rsidP="00162440">
            <w:pPr>
              <w:jc w:val="both"/>
            </w:pPr>
          </w:p>
          <w:p w14:paraId="0DEE9CBF" w14:textId="037C69CD" w:rsidR="007726C6" w:rsidRDefault="005E6A0D" w:rsidP="00162440">
            <w:pPr>
              <w:jc w:val="both"/>
            </w:pPr>
            <w:r>
              <w:t>While both the introduced and substitute establi</w:t>
            </w:r>
            <w:r>
              <w:t xml:space="preserve">sh the responsibilities of the office, the substitute includes </w:t>
            </w:r>
            <w:r w:rsidR="00FB0AE4">
              <w:t xml:space="preserve">among </w:t>
            </w:r>
            <w:r>
              <w:t xml:space="preserve">those </w:t>
            </w:r>
            <w:r w:rsidR="00FB0AE4">
              <w:t xml:space="preserve">responsibilities </w:t>
            </w:r>
            <w:r w:rsidR="00FB0AE4" w:rsidRPr="00FB0AE4">
              <w:t>promoting policies to establish more localized food markets or food access points through</w:t>
            </w:r>
            <w:r w:rsidR="00FB0AE4">
              <w:t xml:space="preserve"> certain</w:t>
            </w:r>
            <w:r w:rsidR="00FB0AE4" w:rsidRPr="00FB0AE4">
              <w:t xml:space="preserve"> measures</w:t>
            </w:r>
            <w:r w:rsidR="00FB0AE4">
              <w:t>, which the introduced did not include among th</w:t>
            </w:r>
            <w:r>
              <w:t>ose respons</w:t>
            </w:r>
            <w:r>
              <w:t>ibilities</w:t>
            </w:r>
            <w:r w:rsidR="00FB0AE4">
              <w:t xml:space="preserve">. </w:t>
            </w:r>
          </w:p>
          <w:p w14:paraId="35FA68D1" w14:textId="2E208B1C" w:rsidR="00FB0AE4" w:rsidRDefault="00FB0AE4" w:rsidP="00162440">
            <w:pPr>
              <w:jc w:val="both"/>
            </w:pPr>
          </w:p>
          <w:p w14:paraId="318580D2" w14:textId="5B5F178E" w:rsidR="00FB0AE4" w:rsidRDefault="005E6A0D" w:rsidP="00162440">
            <w:pPr>
              <w:jc w:val="both"/>
            </w:pPr>
            <w:r>
              <w:t>While both the introduced and substitute require the office to manage the Texas food system security and resiliency planning council</w:t>
            </w:r>
            <w:r w:rsidR="00CB1D91">
              <w:t>,</w:t>
            </w:r>
            <w:r>
              <w:t xml:space="preserve"> if it is established by an Act of the 88th Legislature, Regular Session, </w:t>
            </w:r>
            <w:r w:rsidR="0014723D">
              <w:t xml:space="preserve">2023, </w:t>
            </w:r>
            <w:r>
              <w:t xml:space="preserve">the substitute </w:t>
            </w:r>
            <w:r w:rsidR="00E157AC">
              <w:t>includes a requirement absent from the introduced for</w:t>
            </w:r>
            <w:r>
              <w:t xml:space="preserve"> the office to coordinate with the council to </w:t>
            </w:r>
            <w:r w:rsidR="00E157AC" w:rsidRPr="00E157AC">
              <w:t>promote policies to establish more localized food markets or food access points</w:t>
            </w:r>
            <w:r w:rsidR="00AF7F20">
              <w:t>.</w:t>
            </w:r>
          </w:p>
          <w:p w14:paraId="23C03F95" w14:textId="103BDE16" w:rsidR="007726C6" w:rsidRPr="00B15BC7" w:rsidRDefault="007726C6" w:rsidP="00162440">
            <w:pPr>
              <w:jc w:val="both"/>
            </w:pPr>
          </w:p>
        </w:tc>
      </w:tr>
      <w:tr w:rsidR="00674E7C" w14:paraId="798AE4A0" w14:textId="77777777" w:rsidTr="00345119">
        <w:tc>
          <w:tcPr>
            <w:tcW w:w="9576" w:type="dxa"/>
          </w:tcPr>
          <w:p w14:paraId="7F40F1D8" w14:textId="77777777" w:rsidR="000B20FD" w:rsidRPr="009C1E9A" w:rsidRDefault="000B20FD" w:rsidP="00162440">
            <w:pPr>
              <w:rPr>
                <w:b/>
                <w:u w:val="single"/>
              </w:rPr>
            </w:pPr>
          </w:p>
        </w:tc>
      </w:tr>
      <w:tr w:rsidR="00674E7C" w14:paraId="450A0CA9" w14:textId="77777777" w:rsidTr="00345119">
        <w:tc>
          <w:tcPr>
            <w:tcW w:w="9576" w:type="dxa"/>
          </w:tcPr>
          <w:p w14:paraId="07619126" w14:textId="77777777" w:rsidR="000B20FD" w:rsidRPr="00741761" w:rsidRDefault="000B20FD" w:rsidP="00162440">
            <w:pPr>
              <w:jc w:val="both"/>
            </w:pPr>
          </w:p>
        </w:tc>
      </w:tr>
    </w:tbl>
    <w:p w14:paraId="14317D84" w14:textId="77777777" w:rsidR="008423E4" w:rsidRPr="00BE0E75" w:rsidRDefault="008423E4" w:rsidP="00162440">
      <w:pPr>
        <w:jc w:val="both"/>
        <w:rPr>
          <w:rFonts w:ascii="Arial" w:hAnsi="Arial"/>
          <w:sz w:val="16"/>
          <w:szCs w:val="16"/>
        </w:rPr>
      </w:pPr>
    </w:p>
    <w:p w14:paraId="49A8F0F1" w14:textId="77777777" w:rsidR="004108C3" w:rsidRPr="008423E4" w:rsidRDefault="004108C3" w:rsidP="00162440"/>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01528" w14:textId="77777777" w:rsidR="00000000" w:rsidRDefault="005E6A0D">
      <w:r>
        <w:separator/>
      </w:r>
    </w:p>
  </w:endnote>
  <w:endnote w:type="continuationSeparator" w:id="0">
    <w:p w14:paraId="1C7D2526" w14:textId="77777777" w:rsidR="00000000" w:rsidRDefault="005E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D007"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674E7C" w14:paraId="60FE3BEE" w14:textId="77777777" w:rsidTr="009C1E9A">
      <w:trPr>
        <w:cantSplit/>
      </w:trPr>
      <w:tc>
        <w:tcPr>
          <w:tcW w:w="0" w:type="pct"/>
        </w:tcPr>
        <w:p w14:paraId="5A41063D" w14:textId="77777777" w:rsidR="00137D90" w:rsidRDefault="00137D90" w:rsidP="009C1E9A">
          <w:pPr>
            <w:pStyle w:val="Footer"/>
            <w:tabs>
              <w:tab w:val="clear" w:pos="8640"/>
              <w:tab w:val="right" w:pos="9360"/>
            </w:tabs>
          </w:pPr>
        </w:p>
      </w:tc>
      <w:tc>
        <w:tcPr>
          <w:tcW w:w="2395" w:type="pct"/>
        </w:tcPr>
        <w:p w14:paraId="0B99439B" w14:textId="77777777" w:rsidR="00137D90" w:rsidRDefault="00137D90" w:rsidP="009C1E9A">
          <w:pPr>
            <w:pStyle w:val="Footer"/>
            <w:tabs>
              <w:tab w:val="clear" w:pos="8640"/>
              <w:tab w:val="right" w:pos="9360"/>
            </w:tabs>
          </w:pPr>
        </w:p>
        <w:p w14:paraId="11C344F0" w14:textId="77777777" w:rsidR="001A4310" w:rsidRDefault="001A4310" w:rsidP="009C1E9A">
          <w:pPr>
            <w:pStyle w:val="Footer"/>
            <w:tabs>
              <w:tab w:val="clear" w:pos="8640"/>
              <w:tab w:val="right" w:pos="9360"/>
            </w:tabs>
          </w:pPr>
        </w:p>
        <w:p w14:paraId="0B386470" w14:textId="77777777" w:rsidR="00137D90" w:rsidRDefault="00137D90" w:rsidP="009C1E9A">
          <w:pPr>
            <w:pStyle w:val="Footer"/>
            <w:tabs>
              <w:tab w:val="clear" w:pos="8640"/>
              <w:tab w:val="right" w:pos="9360"/>
            </w:tabs>
          </w:pPr>
        </w:p>
      </w:tc>
      <w:tc>
        <w:tcPr>
          <w:tcW w:w="2453" w:type="pct"/>
        </w:tcPr>
        <w:p w14:paraId="0D71C77A" w14:textId="77777777" w:rsidR="00137D90" w:rsidRDefault="00137D90" w:rsidP="009C1E9A">
          <w:pPr>
            <w:pStyle w:val="Footer"/>
            <w:tabs>
              <w:tab w:val="clear" w:pos="8640"/>
              <w:tab w:val="right" w:pos="9360"/>
            </w:tabs>
            <w:jc w:val="right"/>
          </w:pPr>
        </w:p>
      </w:tc>
    </w:tr>
    <w:tr w:rsidR="00674E7C" w14:paraId="3CCE32BE" w14:textId="77777777" w:rsidTr="009C1E9A">
      <w:trPr>
        <w:cantSplit/>
      </w:trPr>
      <w:tc>
        <w:tcPr>
          <w:tcW w:w="0" w:type="pct"/>
        </w:tcPr>
        <w:p w14:paraId="144E0489" w14:textId="77777777" w:rsidR="00EC379B" w:rsidRDefault="00EC379B" w:rsidP="009C1E9A">
          <w:pPr>
            <w:pStyle w:val="Footer"/>
            <w:tabs>
              <w:tab w:val="clear" w:pos="8640"/>
              <w:tab w:val="right" w:pos="9360"/>
            </w:tabs>
          </w:pPr>
        </w:p>
      </w:tc>
      <w:tc>
        <w:tcPr>
          <w:tcW w:w="2395" w:type="pct"/>
        </w:tcPr>
        <w:p w14:paraId="1010C4E7" w14:textId="725743E3" w:rsidR="00EC379B" w:rsidRPr="009C1E9A" w:rsidRDefault="005E6A0D" w:rsidP="009C1E9A">
          <w:pPr>
            <w:pStyle w:val="Footer"/>
            <w:tabs>
              <w:tab w:val="clear" w:pos="8640"/>
              <w:tab w:val="right" w:pos="9360"/>
            </w:tabs>
            <w:rPr>
              <w:rFonts w:ascii="Shruti" w:hAnsi="Shruti"/>
              <w:sz w:val="22"/>
            </w:rPr>
          </w:pPr>
          <w:r>
            <w:rPr>
              <w:rFonts w:ascii="Shruti" w:hAnsi="Shruti"/>
              <w:sz w:val="22"/>
            </w:rPr>
            <w:t>88R 24575-D</w:t>
          </w:r>
        </w:p>
      </w:tc>
      <w:tc>
        <w:tcPr>
          <w:tcW w:w="2453" w:type="pct"/>
        </w:tcPr>
        <w:p w14:paraId="6E5E902E" w14:textId="165B46B2" w:rsidR="00EC379B" w:rsidRDefault="005E6A0D" w:rsidP="009C1E9A">
          <w:pPr>
            <w:pStyle w:val="Footer"/>
            <w:tabs>
              <w:tab w:val="clear" w:pos="8640"/>
              <w:tab w:val="right" w:pos="9360"/>
            </w:tabs>
            <w:jc w:val="right"/>
          </w:pPr>
          <w:r>
            <w:fldChar w:fldCharType="begin"/>
          </w:r>
          <w:r>
            <w:instrText xml:space="preserve"> DOCPROPERTY  OTID  \* MERGEFORMAT </w:instrText>
          </w:r>
          <w:r>
            <w:fldChar w:fldCharType="separate"/>
          </w:r>
          <w:r w:rsidR="00162440">
            <w:t>23.110.1682</w:t>
          </w:r>
          <w:r>
            <w:fldChar w:fldCharType="end"/>
          </w:r>
        </w:p>
      </w:tc>
    </w:tr>
    <w:tr w:rsidR="00674E7C" w14:paraId="51D6E417" w14:textId="77777777" w:rsidTr="009C1E9A">
      <w:trPr>
        <w:cantSplit/>
      </w:trPr>
      <w:tc>
        <w:tcPr>
          <w:tcW w:w="0" w:type="pct"/>
        </w:tcPr>
        <w:p w14:paraId="4D7D6A94" w14:textId="77777777" w:rsidR="00EC379B" w:rsidRDefault="00EC379B" w:rsidP="009C1E9A">
          <w:pPr>
            <w:pStyle w:val="Footer"/>
            <w:tabs>
              <w:tab w:val="clear" w:pos="4320"/>
              <w:tab w:val="clear" w:pos="8640"/>
              <w:tab w:val="left" w:pos="2865"/>
            </w:tabs>
          </w:pPr>
        </w:p>
      </w:tc>
      <w:tc>
        <w:tcPr>
          <w:tcW w:w="2395" w:type="pct"/>
        </w:tcPr>
        <w:p w14:paraId="5F6E9B83" w14:textId="1703DC04" w:rsidR="00EC379B" w:rsidRPr="009C1E9A" w:rsidRDefault="005E6A0D" w:rsidP="009C1E9A">
          <w:pPr>
            <w:pStyle w:val="Footer"/>
            <w:tabs>
              <w:tab w:val="clear" w:pos="4320"/>
              <w:tab w:val="clear" w:pos="8640"/>
              <w:tab w:val="left" w:pos="2865"/>
            </w:tabs>
            <w:rPr>
              <w:rFonts w:ascii="Shruti" w:hAnsi="Shruti"/>
              <w:sz w:val="22"/>
            </w:rPr>
          </w:pPr>
          <w:r>
            <w:rPr>
              <w:rFonts w:ascii="Shruti" w:hAnsi="Shruti"/>
              <w:sz w:val="22"/>
            </w:rPr>
            <w:t>Substitute Document Number: 88R 20490</w:t>
          </w:r>
        </w:p>
      </w:tc>
      <w:tc>
        <w:tcPr>
          <w:tcW w:w="2453" w:type="pct"/>
        </w:tcPr>
        <w:p w14:paraId="3150D213" w14:textId="77777777" w:rsidR="00EC379B" w:rsidRDefault="00EC379B" w:rsidP="006D504F">
          <w:pPr>
            <w:pStyle w:val="Footer"/>
            <w:rPr>
              <w:rStyle w:val="PageNumber"/>
            </w:rPr>
          </w:pPr>
        </w:p>
        <w:p w14:paraId="0497E272" w14:textId="77777777" w:rsidR="00EC379B" w:rsidRDefault="00EC379B" w:rsidP="009C1E9A">
          <w:pPr>
            <w:pStyle w:val="Footer"/>
            <w:tabs>
              <w:tab w:val="clear" w:pos="8640"/>
              <w:tab w:val="right" w:pos="9360"/>
            </w:tabs>
            <w:jc w:val="right"/>
          </w:pPr>
        </w:p>
      </w:tc>
    </w:tr>
    <w:tr w:rsidR="00674E7C" w14:paraId="3752CD4C" w14:textId="77777777" w:rsidTr="009C1E9A">
      <w:trPr>
        <w:cantSplit/>
        <w:trHeight w:val="323"/>
      </w:trPr>
      <w:tc>
        <w:tcPr>
          <w:tcW w:w="0" w:type="pct"/>
          <w:gridSpan w:val="3"/>
        </w:tcPr>
        <w:p w14:paraId="3BF9146E" w14:textId="77777777" w:rsidR="00EC379B" w:rsidRDefault="005E6A0D"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5D91A423" w14:textId="77777777" w:rsidR="00EC379B" w:rsidRDefault="00EC379B" w:rsidP="009C1E9A">
          <w:pPr>
            <w:pStyle w:val="Footer"/>
            <w:tabs>
              <w:tab w:val="clear" w:pos="8640"/>
              <w:tab w:val="right" w:pos="9360"/>
            </w:tabs>
            <w:jc w:val="center"/>
          </w:pPr>
        </w:p>
      </w:tc>
    </w:tr>
  </w:tbl>
  <w:p w14:paraId="7E9ABCBD"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F065D"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123F" w14:textId="77777777" w:rsidR="00000000" w:rsidRDefault="005E6A0D">
      <w:r>
        <w:separator/>
      </w:r>
    </w:p>
  </w:footnote>
  <w:footnote w:type="continuationSeparator" w:id="0">
    <w:p w14:paraId="203037F4" w14:textId="77777777" w:rsidR="00000000" w:rsidRDefault="005E6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7269"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08B4"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87323"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E60079"/>
    <w:multiLevelType w:val="hybridMultilevel"/>
    <w:tmpl w:val="82B6FBF8"/>
    <w:lvl w:ilvl="0" w:tplc="E41A4E74">
      <w:start w:val="1"/>
      <w:numFmt w:val="bullet"/>
      <w:lvlText w:val=""/>
      <w:lvlJc w:val="left"/>
      <w:pPr>
        <w:tabs>
          <w:tab w:val="num" w:pos="720"/>
        </w:tabs>
        <w:ind w:left="720" w:hanging="360"/>
      </w:pPr>
      <w:rPr>
        <w:rFonts w:ascii="Symbol" w:hAnsi="Symbol" w:hint="default"/>
      </w:rPr>
    </w:lvl>
    <w:lvl w:ilvl="1" w:tplc="454012DE" w:tentative="1">
      <w:start w:val="1"/>
      <w:numFmt w:val="bullet"/>
      <w:lvlText w:val="o"/>
      <w:lvlJc w:val="left"/>
      <w:pPr>
        <w:ind w:left="1440" w:hanging="360"/>
      </w:pPr>
      <w:rPr>
        <w:rFonts w:ascii="Courier New" w:hAnsi="Courier New" w:cs="Courier New" w:hint="default"/>
      </w:rPr>
    </w:lvl>
    <w:lvl w:ilvl="2" w:tplc="199608FE" w:tentative="1">
      <w:start w:val="1"/>
      <w:numFmt w:val="bullet"/>
      <w:lvlText w:val=""/>
      <w:lvlJc w:val="left"/>
      <w:pPr>
        <w:ind w:left="2160" w:hanging="360"/>
      </w:pPr>
      <w:rPr>
        <w:rFonts w:ascii="Wingdings" w:hAnsi="Wingdings" w:hint="default"/>
      </w:rPr>
    </w:lvl>
    <w:lvl w:ilvl="3" w:tplc="70E68A20" w:tentative="1">
      <w:start w:val="1"/>
      <w:numFmt w:val="bullet"/>
      <w:lvlText w:val=""/>
      <w:lvlJc w:val="left"/>
      <w:pPr>
        <w:ind w:left="2880" w:hanging="360"/>
      </w:pPr>
      <w:rPr>
        <w:rFonts w:ascii="Symbol" w:hAnsi="Symbol" w:hint="default"/>
      </w:rPr>
    </w:lvl>
    <w:lvl w:ilvl="4" w:tplc="97BED7CE" w:tentative="1">
      <w:start w:val="1"/>
      <w:numFmt w:val="bullet"/>
      <w:lvlText w:val="o"/>
      <w:lvlJc w:val="left"/>
      <w:pPr>
        <w:ind w:left="3600" w:hanging="360"/>
      </w:pPr>
      <w:rPr>
        <w:rFonts w:ascii="Courier New" w:hAnsi="Courier New" w:cs="Courier New" w:hint="default"/>
      </w:rPr>
    </w:lvl>
    <w:lvl w:ilvl="5" w:tplc="96582640" w:tentative="1">
      <w:start w:val="1"/>
      <w:numFmt w:val="bullet"/>
      <w:lvlText w:val=""/>
      <w:lvlJc w:val="left"/>
      <w:pPr>
        <w:ind w:left="4320" w:hanging="360"/>
      </w:pPr>
      <w:rPr>
        <w:rFonts w:ascii="Wingdings" w:hAnsi="Wingdings" w:hint="default"/>
      </w:rPr>
    </w:lvl>
    <w:lvl w:ilvl="6" w:tplc="EA30EAA6" w:tentative="1">
      <w:start w:val="1"/>
      <w:numFmt w:val="bullet"/>
      <w:lvlText w:val=""/>
      <w:lvlJc w:val="left"/>
      <w:pPr>
        <w:ind w:left="5040" w:hanging="360"/>
      </w:pPr>
      <w:rPr>
        <w:rFonts w:ascii="Symbol" w:hAnsi="Symbol" w:hint="default"/>
      </w:rPr>
    </w:lvl>
    <w:lvl w:ilvl="7" w:tplc="6A1628B2" w:tentative="1">
      <w:start w:val="1"/>
      <w:numFmt w:val="bullet"/>
      <w:lvlText w:val="o"/>
      <w:lvlJc w:val="left"/>
      <w:pPr>
        <w:ind w:left="5760" w:hanging="360"/>
      </w:pPr>
      <w:rPr>
        <w:rFonts w:ascii="Courier New" w:hAnsi="Courier New" w:cs="Courier New" w:hint="default"/>
      </w:rPr>
    </w:lvl>
    <w:lvl w:ilvl="8" w:tplc="91CA712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ED"/>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5F38"/>
    <w:rsid w:val="000A72C4"/>
    <w:rsid w:val="000B0F30"/>
    <w:rsid w:val="000B1486"/>
    <w:rsid w:val="000B20FD"/>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6825"/>
    <w:rsid w:val="00137D90"/>
    <w:rsid w:val="00141FB6"/>
    <w:rsid w:val="00142F8E"/>
    <w:rsid w:val="00143C8B"/>
    <w:rsid w:val="0014723D"/>
    <w:rsid w:val="00147530"/>
    <w:rsid w:val="0015331F"/>
    <w:rsid w:val="00156AB2"/>
    <w:rsid w:val="00160402"/>
    <w:rsid w:val="00160571"/>
    <w:rsid w:val="00161E93"/>
    <w:rsid w:val="00162440"/>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55CE"/>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13"/>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9AF"/>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5F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22ED"/>
    <w:rsid w:val="003847E8"/>
    <w:rsid w:val="0038731D"/>
    <w:rsid w:val="00387B60"/>
    <w:rsid w:val="00390098"/>
    <w:rsid w:val="00392DA1"/>
    <w:rsid w:val="00393718"/>
    <w:rsid w:val="003A0296"/>
    <w:rsid w:val="003A10BC"/>
    <w:rsid w:val="003A52E1"/>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4CBC"/>
    <w:rsid w:val="00415139"/>
    <w:rsid w:val="004166BB"/>
    <w:rsid w:val="004174CD"/>
    <w:rsid w:val="00417F1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64D4"/>
    <w:rsid w:val="005073E8"/>
    <w:rsid w:val="00510503"/>
    <w:rsid w:val="0051324D"/>
    <w:rsid w:val="00515466"/>
    <w:rsid w:val="005154F7"/>
    <w:rsid w:val="005159DE"/>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6A0D"/>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530F9"/>
    <w:rsid w:val="00662B77"/>
    <w:rsid w:val="00662D0E"/>
    <w:rsid w:val="00663265"/>
    <w:rsid w:val="0066345F"/>
    <w:rsid w:val="0066485B"/>
    <w:rsid w:val="0067036E"/>
    <w:rsid w:val="00671693"/>
    <w:rsid w:val="00674E7C"/>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1D07"/>
    <w:rsid w:val="006C4709"/>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1761"/>
    <w:rsid w:val="00742794"/>
    <w:rsid w:val="00743C4C"/>
    <w:rsid w:val="007445B7"/>
    <w:rsid w:val="00744920"/>
    <w:rsid w:val="007509BE"/>
    <w:rsid w:val="0075287B"/>
    <w:rsid w:val="00755C7B"/>
    <w:rsid w:val="00762326"/>
    <w:rsid w:val="00764786"/>
    <w:rsid w:val="00766E12"/>
    <w:rsid w:val="0077098E"/>
    <w:rsid w:val="00771287"/>
    <w:rsid w:val="0077149E"/>
    <w:rsid w:val="007726C6"/>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36D6"/>
    <w:rsid w:val="0096482F"/>
    <w:rsid w:val="00964E3A"/>
    <w:rsid w:val="00967126"/>
    <w:rsid w:val="00970EAE"/>
    <w:rsid w:val="00971627"/>
    <w:rsid w:val="00972797"/>
    <w:rsid w:val="0097279D"/>
    <w:rsid w:val="009733E0"/>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061"/>
    <w:rsid w:val="00A6344D"/>
    <w:rsid w:val="00A644B8"/>
    <w:rsid w:val="00A70E35"/>
    <w:rsid w:val="00A720DC"/>
    <w:rsid w:val="00A803CF"/>
    <w:rsid w:val="00A8133F"/>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AF7F20"/>
    <w:rsid w:val="00B000AF"/>
    <w:rsid w:val="00B04E79"/>
    <w:rsid w:val="00B07488"/>
    <w:rsid w:val="00B075A2"/>
    <w:rsid w:val="00B10DD2"/>
    <w:rsid w:val="00B115DC"/>
    <w:rsid w:val="00B11952"/>
    <w:rsid w:val="00B149AC"/>
    <w:rsid w:val="00B14BD2"/>
    <w:rsid w:val="00B1557F"/>
    <w:rsid w:val="00B15BC7"/>
    <w:rsid w:val="00B1668D"/>
    <w:rsid w:val="00B17981"/>
    <w:rsid w:val="00B233BB"/>
    <w:rsid w:val="00B25612"/>
    <w:rsid w:val="00B26437"/>
    <w:rsid w:val="00B2678E"/>
    <w:rsid w:val="00B30647"/>
    <w:rsid w:val="00B31F0E"/>
    <w:rsid w:val="00B34F25"/>
    <w:rsid w:val="00B43672"/>
    <w:rsid w:val="00B473D8"/>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491"/>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1D91"/>
    <w:rsid w:val="00CB3627"/>
    <w:rsid w:val="00CB4B4B"/>
    <w:rsid w:val="00CB4B73"/>
    <w:rsid w:val="00CB74CB"/>
    <w:rsid w:val="00CB7E04"/>
    <w:rsid w:val="00CC24B7"/>
    <w:rsid w:val="00CC7131"/>
    <w:rsid w:val="00CC7B9E"/>
    <w:rsid w:val="00CD06CA"/>
    <w:rsid w:val="00CD076A"/>
    <w:rsid w:val="00CD180C"/>
    <w:rsid w:val="00CD2017"/>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7AC"/>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96E2A"/>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5B1E"/>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0F60"/>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4153"/>
    <w:rsid w:val="00F85661"/>
    <w:rsid w:val="00F96602"/>
    <w:rsid w:val="00F9735A"/>
    <w:rsid w:val="00FA32FC"/>
    <w:rsid w:val="00FA59FD"/>
    <w:rsid w:val="00FA5D8C"/>
    <w:rsid w:val="00FA6403"/>
    <w:rsid w:val="00FB0AE4"/>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961EB8-89F9-47EE-8510-2A702C1B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A63061"/>
    <w:rPr>
      <w:sz w:val="16"/>
      <w:szCs w:val="16"/>
    </w:rPr>
  </w:style>
  <w:style w:type="paragraph" w:styleId="CommentText">
    <w:name w:val="annotation text"/>
    <w:basedOn w:val="Normal"/>
    <w:link w:val="CommentTextChar"/>
    <w:semiHidden/>
    <w:unhideWhenUsed/>
    <w:rsid w:val="00A63061"/>
    <w:rPr>
      <w:sz w:val="20"/>
      <w:szCs w:val="20"/>
    </w:rPr>
  </w:style>
  <w:style w:type="character" w:customStyle="1" w:styleId="CommentTextChar">
    <w:name w:val="Comment Text Char"/>
    <w:basedOn w:val="DefaultParagraphFont"/>
    <w:link w:val="CommentText"/>
    <w:semiHidden/>
    <w:rsid w:val="00A63061"/>
  </w:style>
  <w:style w:type="paragraph" w:styleId="CommentSubject">
    <w:name w:val="annotation subject"/>
    <w:basedOn w:val="CommentText"/>
    <w:next w:val="CommentText"/>
    <w:link w:val="CommentSubjectChar"/>
    <w:semiHidden/>
    <w:unhideWhenUsed/>
    <w:rsid w:val="00A63061"/>
    <w:rPr>
      <w:b/>
      <w:bCs/>
    </w:rPr>
  </w:style>
  <w:style w:type="character" w:customStyle="1" w:styleId="CommentSubjectChar">
    <w:name w:val="Comment Subject Char"/>
    <w:basedOn w:val="CommentTextChar"/>
    <w:link w:val="CommentSubject"/>
    <w:semiHidden/>
    <w:rsid w:val="00A63061"/>
    <w:rPr>
      <w:b/>
      <w:bCs/>
    </w:rPr>
  </w:style>
  <w:style w:type="paragraph" w:styleId="Revision">
    <w:name w:val="Revision"/>
    <w:hidden/>
    <w:uiPriority w:val="99"/>
    <w:semiHidden/>
    <w:rsid w:val="006530F9"/>
    <w:rPr>
      <w:sz w:val="24"/>
      <w:szCs w:val="24"/>
    </w:rPr>
  </w:style>
  <w:style w:type="character" w:styleId="Hyperlink">
    <w:name w:val="Hyperlink"/>
    <w:basedOn w:val="DefaultParagraphFont"/>
    <w:unhideWhenUsed/>
    <w:rsid w:val="00C75491"/>
    <w:rPr>
      <w:color w:val="0000FF" w:themeColor="hyperlink"/>
      <w:u w:val="single"/>
    </w:rPr>
  </w:style>
  <w:style w:type="character" w:customStyle="1" w:styleId="UnresolvedMention1">
    <w:name w:val="Unresolved Mention1"/>
    <w:basedOn w:val="DefaultParagraphFont"/>
    <w:uiPriority w:val="99"/>
    <w:semiHidden/>
    <w:unhideWhenUsed/>
    <w:rsid w:val="00C75491"/>
    <w:rPr>
      <w:color w:val="605E5C"/>
      <w:shd w:val="clear" w:color="auto" w:fill="E1DFDD"/>
    </w:rPr>
  </w:style>
  <w:style w:type="character" w:styleId="FollowedHyperlink">
    <w:name w:val="FollowedHyperlink"/>
    <w:basedOn w:val="DefaultParagraphFont"/>
    <w:semiHidden/>
    <w:unhideWhenUsed/>
    <w:rsid w:val="00F10F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Words>
  <Characters>3359</Characters>
  <Application>Microsoft Office Word</Application>
  <DocSecurity>4</DocSecurity>
  <Lines>81</Lines>
  <Paragraphs>25</Paragraphs>
  <ScaleCrop>false</ScaleCrop>
  <HeadingPairs>
    <vt:vector size="2" baseType="variant">
      <vt:variant>
        <vt:lpstr>Title</vt:lpstr>
      </vt:variant>
      <vt:variant>
        <vt:i4>1</vt:i4>
      </vt:variant>
    </vt:vector>
  </HeadingPairs>
  <TitlesOfParts>
    <vt:vector size="1" baseType="lpstr">
      <vt:lpstr>BA - HB03322 (Committee Report (Substituted))</vt:lpstr>
    </vt:vector>
  </TitlesOfParts>
  <Company>State of Texas</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24575</dc:subject>
  <dc:creator>State of Texas</dc:creator>
  <dc:description>HB 3322 by Goodwin-(H)Agriculture &amp; Livestock (Substitute Document Number: 88R 20490)</dc:description>
  <cp:lastModifiedBy>Thomas Weis</cp:lastModifiedBy>
  <cp:revision>2</cp:revision>
  <cp:lastPrinted>2003-11-26T17:21:00Z</cp:lastPrinted>
  <dcterms:created xsi:type="dcterms:W3CDTF">2023-04-28T00:56:00Z</dcterms:created>
  <dcterms:modified xsi:type="dcterms:W3CDTF">2023-04-28T00:56:00Z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23.110.1682</vt:lpwstr>
  </property>
</Properties>
</file>