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A04F29" w14:paraId="2067F36C" w14:textId="77777777" w:rsidTr="00345119">
        <w:tc>
          <w:tcPr>
            <w:tcW w:w="9576" w:type="dxa"/>
            <w:noWrap/>
          </w:tcPr>
          <w:p w14:paraId="109788CE" w14:textId="77777777" w:rsidR="008423E4" w:rsidRPr="0022177D" w:rsidRDefault="00726792" w:rsidP="00F1397F">
            <w:pPr>
              <w:pStyle w:val="Heading1"/>
            </w:pPr>
            <w:r w:rsidRPr="00631897">
              <w:t>BILL ANALYSIS</w:t>
            </w:r>
          </w:p>
        </w:tc>
      </w:tr>
    </w:tbl>
    <w:p w14:paraId="4EF22CA2" w14:textId="77777777" w:rsidR="008423E4" w:rsidRPr="0022177D" w:rsidRDefault="008423E4" w:rsidP="00F1397F">
      <w:pPr>
        <w:jc w:val="center"/>
      </w:pPr>
    </w:p>
    <w:p w14:paraId="3BA717BF" w14:textId="77777777" w:rsidR="008423E4" w:rsidRPr="00B31F0E" w:rsidRDefault="008423E4" w:rsidP="00F1397F"/>
    <w:p w14:paraId="1446CC83" w14:textId="77777777" w:rsidR="008423E4" w:rsidRPr="00742794" w:rsidRDefault="008423E4" w:rsidP="00F1397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04F29" w14:paraId="271165AD" w14:textId="77777777" w:rsidTr="00345119">
        <w:tc>
          <w:tcPr>
            <w:tcW w:w="9576" w:type="dxa"/>
          </w:tcPr>
          <w:p w14:paraId="7B20740F" w14:textId="71F7A19A" w:rsidR="008423E4" w:rsidRPr="00861995" w:rsidRDefault="00726792" w:rsidP="00F1397F">
            <w:pPr>
              <w:jc w:val="right"/>
            </w:pPr>
            <w:r>
              <w:t>C.S.H.B. 3351</w:t>
            </w:r>
          </w:p>
        </w:tc>
      </w:tr>
      <w:tr w:rsidR="00A04F29" w14:paraId="171A00C9" w14:textId="77777777" w:rsidTr="00345119">
        <w:tc>
          <w:tcPr>
            <w:tcW w:w="9576" w:type="dxa"/>
          </w:tcPr>
          <w:p w14:paraId="61766BFF" w14:textId="375B42F4" w:rsidR="008423E4" w:rsidRPr="00861995" w:rsidRDefault="00726792" w:rsidP="00F1397F">
            <w:pPr>
              <w:jc w:val="right"/>
            </w:pPr>
            <w:r>
              <w:t xml:space="preserve">By: </w:t>
            </w:r>
            <w:r w:rsidR="007377C3">
              <w:t>Harris, Caroline</w:t>
            </w:r>
          </w:p>
        </w:tc>
      </w:tr>
      <w:tr w:rsidR="00A04F29" w14:paraId="2E8E3268" w14:textId="77777777" w:rsidTr="00345119">
        <w:tc>
          <w:tcPr>
            <w:tcW w:w="9576" w:type="dxa"/>
          </w:tcPr>
          <w:p w14:paraId="5B9CEF1E" w14:textId="69ED50C8" w:rsidR="008423E4" w:rsidRPr="00861995" w:rsidRDefault="00726792" w:rsidP="00F1397F">
            <w:pPr>
              <w:jc w:val="right"/>
            </w:pPr>
            <w:r>
              <w:t>Insurance</w:t>
            </w:r>
          </w:p>
        </w:tc>
      </w:tr>
      <w:tr w:rsidR="00A04F29" w14:paraId="033D3D8B" w14:textId="77777777" w:rsidTr="00345119">
        <w:tc>
          <w:tcPr>
            <w:tcW w:w="9576" w:type="dxa"/>
          </w:tcPr>
          <w:p w14:paraId="203097D3" w14:textId="2B72613F" w:rsidR="008423E4" w:rsidRDefault="00726792" w:rsidP="00F1397F">
            <w:pPr>
              <w:jc w:val="right"/>
            </w:pPr>
            <w:r>
              <w:t>Committee Report (Substituted)</w:t>
            </w:r>
          </w:p>
        </w:tc>
      </w:tr>
    </w:tbl>
    <w:p w14:paraId="5F6EA056" w14:textId="77777777" w:rsidR="008423E4" w:rsidRDefault="008423E4" w:rsidP="00F1397F">
      <w:pPr>
        <w:tabs>
          <w:tab w:val="right" w:pos="9360"/>
        </w:tabs>
      </w:pPr>
    </w:p>
    <w:p w14:paraId="3209EED8" w14:textId="77777777" w:rsidR="008423E4" w:rsidRDefault="008423E4" w:rsidP="00F1397F"/>
    <w:p w14:paraId="421C98A7" w14:textId="77777777" w:rsidR="008423E4" w:rsidRDefault="008423E4" w:rsidP="00F1397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A04F29" w14:paraId="6F2BD02D" w14:textId="77777777" w:rsidTr="00533702">
        <w:tc>
          <w:tcPr>
            <w:tcW w:w="9360" w:type="dxa"/>
          </w:tcPr>
          <w:p w14:paraId="5E1923BF" w14:textId="77777777" w:rsidR="008423E4" w:rsidRPr="00A8133F" w:rsidRDefault="00726792" w:rsidP="00F1397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7D3181" w14:textId="77777777" w:rsidR="008423E4" w:rsidRDefault="008423E4" w:rsidP="00F1397F"/>
          <w:p w14:paraId="2EE0D08C" w14:textId="58C092F3" w:rsidR="008423E4" w:rsidRDefault="00726792" w:rsidP="00F1397F">
            <w:pPr>
              <w:pStyle w:val="Header"/>
              <w:jc w:val="both"/>
            </w:pPr>
            <w:r>
              <w:t xml:space="preserve">Price transparency helps patients shop for lower-cost services, but patients continue to lack transparency related to the </w:t>
            </w:r>
            <w:r>
              <w:t>quality of care. Current law prohibits health benefit plan issuers from informing enrollees about physician quality rankings based on national standards without meeting onerous requirements. Those requirements allow a single physician with poor quality ran</w:t>
            </w:r>
            <w:r>
              <w:t>kings, based on nationally recognized standards and guidelines, to slow or stop the process of sharing quality transparency information through health plans. C.S.H.B. 3351 seeks to address this issue by simplifying</w:t>
            </w:r>
            <w:r w:rsidR="006E7831">
              <w:t xml:space="preserve"> Insurance Code</w:t>
            </w:r>
            <w:r>
              <w:t xml:space="preserve"> requirements </w:t>
            </w:r>
            <w:r w:rsidR="006E7831">
              <w:t xml:space="preserve">regarding </w:t>
            </w:r>
            <w:r>
              <w:t>cer</w:t>
            </w:r>
            <w:r>
              <w:t>tain physician rankings by health benefit plan</w:t>
            </w:r>
            <w:r w:rsidR="006E7831">
              <w:t xml:space="preserve"> issuers</w:t>
            </w:r>
            <w:r>
              <w:t xml:space="preserve"> </w:t>
            </w:r>
            <w:r w:rsidR="006E7831">
              <w:t>and by providing a process for an affected physician to identify discrepancies and for a health benefit plan issuer to remedy such a discrepancy</w:t>
            </w:r>
            <w:r>
              <w:t>.</w:t>
            </w:r>
          </w:p>
          <w:p w14:paraId="01AD448F" w14:textId="77777777" w:rsidR="008423E4" w:rsidRPr="00E26B13" w:rsidRDefault="008423E4" w:rsidP="00F1397F">
            <w:pPr>
              <w:rPr>
                <w:b/>
              </w:rPr>
            </w:pPr>
          </w:p>
        </w:tc>
      </w:tr>
      <w:tr w:rsidR="00A04F29" w14:paraId="50E333CE" w14:textId="77777777" w:rsidTr="00533702">
        <w:tc>
          <w:tcPr>
            <w:tcW w:w="9360" w:type="dxa"/>
          </w:tcPr>
          <w:p w14:paraId="7EDE5152" w14:textId="77777777" w:rsidR="0017725B" w:rsidRDefault="00726792" w:rsidP="00F1397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E2BB30" w14:textId="77777777" w:rsidR="0017725B" w:rsidRDefault="0017725B" w:rsidP="00F1397F">
            <w:pPr>
              <w:rPr>
                <w:b/>
                <w:u w:val="single"/>
              </w:rPr>
            </w:pPr>
          </w:p>
          <w:p w14:paraId="2CAE6030" w14:textId="38ACED86" w:rsidR="00537273" w:rsidRPr="00537273" w:rsidRDefault="00726792" w:rsidP="00F1397F">
            <w:pPr>
              <w:jc w:val="both"/>
            </w:pPr>
            <w:r>
              <w:t>It is the committee's opinio</w:t>
            </w:r>
            <w:r>
              <w:t>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EDBCA0C" w14:textId="77777777" w:rsidR="0017725B" w:rsidRPr="0017725B" w:rsidRDefault="0017725B" w:rsidP="00F1397F">
            <w:pPr>
              <w:rPr>
                <w:b/>
                <w:u w:val="single"/>
              </w:rPr>
            </w:pPr>
          </w:p>
        </w:tc>
      </w:tr>
      <w:tr w:rsidR="00A04F29" w14:paraId="1E56F324" w14:textId="77777777" w:rsidTr="00533702">
        <w:tc>
          <w:tcPr>
            <w:tcW w:w="9360" w:type="dxa"/>
          </w:tcPr>
          <w:p w14:paraId="37475302" w14:textId="77777777" w:rsidR="008423E4" w:rsidRPr="00A8133F" w:rsidRDefault="00726792" w:rsidP="00F1397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</w:t>
            </w:r>
            <w:r w:rsidRPr="009C1E9A">
              <w:rPr>
                <w:b/>
                <w:u w:val="single"/>
              </w:rPr>
              <w:t xml:space="preserve"> AUTHORITY</w:t>
            </w:r>
            <w:r>
              <w:rPr>
                <w:b/>
              </w:rPr>
              <w:t xml:space="preserve"> </w:t>
            </w:r>
          </w:p>
          <w:p w14:paraId="46484027" w14:textId="77777777" w:rsidR="008423E4" w:rsidRDefault="008423E4" w:rsidP="00F1397F"/>
          <w:p w14:paraId="7E789295" w14:textId="729C4C1F" w:rsidR="00537273" w:rsidRDefault="00726792" w:rsidP="00F139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ED0764A" w14:textId="77777777" w:rsidR="008423E4" w:rsidRPr="00E21FDC" w:rsidRDefault="008423E4" w:rsidP="00F1397F">
            <w:pPr>
              <w:rPr>
                <w:b/>
              </w:rPr>
            </w:pPr>
          </w:p>
        </w:tc>
      </w:tr>
      <w:tr w:rsidR="00A04F29" w14:paraId="270DEE1F" w14:textId="77777777" w:rsidTr="00533702">
        <w:tc>
          <w:tcPr>
            <w:tcW w:w="9360" w:type="dxa"/>
          </w:tcPr>
          <w:p w14:paraId="08BA621B" w14:textId="77777777" w:rsidR="008423E4" w:rsidRPr="00A8133F" w:rsidRDefault="00726792" w:rsidP="00F1397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15257DC" w14:textId="77777777" w:rsidR="008423E4" w:rsidRDefault="008423E4" w:rsidP="00F1397F"/>
          <w:p w14:paraId="7F0179A5" w14:textId="476A7EE0" w:rsidR="009C36CD" w:rsidRDefault="00726792" w:rsidP="00F139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803264">
              <w:t xml:space="preserve">H.B. </w:t>
            </w:r>
            <w:r w:rsidR="00803264" w:rsidRPr="00803264">
              <w:t>3351</w:t>
            </w:r>
            <w:r w:rsidR="00803264">
              <w:t xml:space="preserve"> amends the </w:t>
            </w:r>
            <w:r w:rsidR="00803264" w:rsidRPr="00803264">
              <w:t>Insurance Code</w:t>
            </w:r>
            <w:r w:rsidR="00803264">
              <w:t xml:space="preserve"> to </w:t>
            </w:r>
            <w:r w:rsidR="00E336DE">
              <w:t xml:space="preserve">remove </w:t>
            </w:r>
            <w:r w:rsidR="000F14EA">
              <w:t xml:space="preserve">the </w:t>
            </w:r>
            <w:r w:rsidR="00E336DE">
              <w:t>prohibiti</w:t>
            </w:r>
            <w:r w:rsidR="000F14EA">
              <w:t>on against</w:t>
            </w:r>
            <w:r w:rsidR="00E336DE">
              <w:t xml:space="preserve"> </w:t>
            </w:r>
            <w:r w:rsidR="00537273">
              <w:t>a</w:t>
            </w:r>
            <w:r w:rsidR="00E336DE" w:rsidRPr="00E336DE">
              <w:t xml:space="preserve"> health benefit plan issuer</w:t>
            </w:r>
            <w:r w:rsidR="000F14EA">
              <w:t>, including a subsidiary or affiliate,</w:t>
            </w:r>
            <w:r w:rsidR="00E336DE">
              <w:t xml:space="preserve"> </w:t>
            </w:r>
            <w:r w:rsidR="00E336DE" w:rsidRPr="00E336DE">
              <w:t>publish</w:t>
            </w:r>
            <w:r w:rsidR="00E336DE">
              <w:t>ing</w:t>
            </w:r>
            <w:r w:rsidR="00E336DE" w:rsidRPr="00E336DE">
              <w:t xml:space="preserve"> physician-specific information that includes rankings, tiers, ratings, or other comparisons of a physician's performance against standards, measures, or other physicians</w:t>
            </w:r>
            <w:r w:rsidR="008511A2">
              <w:t xml:space="preserve"> unless certain </w:t>
            </w:r>
            <w:r w:rsidR="008C1B56">
              <w:t>requirements</w:t>
            </w:r>
            <w:r w:rsidR="008511A2">
              <w:t xml:space="preserve"> are met. </w:t>
            </w:r>
            <w:r w:rsidR="00E336DE">
              <w:t>The bill</w:t>
            </w:r>
            <w:r w:rsidR="000F14EA">
              <w:t xml:space="preserve"> </w:t>
            </w:r>
            <w:r w:rsidR="00E336DE">
              <w:t xml:space="preserve">removes the following </w:t>
            </w:r>
            <w:r w:rsidR="008511A2">
              <w:t xml:space="preserve">as </w:t>
            </w:r>
            <w:r w:rsidR="008C1B56">
              <w:t>requirements</w:t>
            </w:r>
            <w:r w:rsidR="000F14EA">
              <w:t xml:space="preserve"> </w:t>
            </w:r>
            <w:r w:rsidR="008511A2">
              <w:t xml:space="preserve">that must be </w:t>
            </w:r>
            <w:r w:rsidR="008C1B56">
              <w:t>satisfied by</w:t>
            </w:r>
            <w:r w:rsidR="000F14EA">
              <w:t xml:space="preserve"> a health benefit plan issuer</w:t>
            </w:r>
            <w:r w:rsidR="00821A53">
              <w:t xml:space="preserve"> </w:t>
            </w:r>
            <w:r w:rsidR="008C1B56">
              <w:t>that</w:t>
            </w:r>
            <w:r w:rsidR="00821A53">
              <w:t xml:space="preserve"> rank</w:t>
            </w:r>
            <w:r w:rsidR="008C1B56">
              <w:t>s</w:t>
            </w:r>
            <w:r w:rsidR="00821A53">
              <w:t xml:space="preserve"> physicians or classif</w:t>
            </w:r>
            <w:r w:rsidR="001777DB">
              <w:t>ies</w:t>
            </w:r>
            <w:r w:rsidR="00821A53">
              <w:t xml:space="preserve"> physicians into tiers based on performance</w:t>
            </w:r>
            <w:r w:rsidR="00E336DE">
              <w:t>:</w:t>
            </w:r>
          </w:p>
          <w:p w14:paraId="19F9F9A1" w14:textId="0F6CBA2A" w:rsidR="00CA1910" w:rsidRDefault="00726792" w:rsidP="00F1397F">
            <w:pPr>
              <w:pStyle w:val="Header"/>
              <w:numPr>
                <w:ilvl w:val="0"/>
                <w:numId w:val="3"/>
              </w:numPr>
              <w:jc w:val="both"/>
            </w:pPr>
            <w:r w:rsidRPr="00CA1910">
              <w:t>the standards used by the</w:t>
            </w:r>
            <w:r w:rsidRPr="00CA1910">
              <w:t xml:space="preserve"> health benefit plan issuer conform to nationally recognized standards and guidelines as required by</w:t>
            </w:r>
            <w:r>
              <w:t xml:space="preserve"> </w:t>
            </w:r>
            <w:r w:rsidRPr="00CA1910">
              <w:t>rules</w:t>
            </w:r>
            <w:r w:rsidR="001E1005">
              <w:t xml:space="preserve"> adopted by the commissioner of insurance</w:t>
            </w:r>
            <w:r>
              <w:t>;</w:t>
            </w:r>
          </w:p>
          <w:p w14:paraId="758C0D69" w14:textId="436BCF3C" w:rsidR="00E336DE" w:rsidRDefault="00726792" w:rsidP="00F1397F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standards and measurements to be used by the plan issuer are disclosed to each affected physician befor</w:t>
            </w:r>
            <w:r>
              <w:t>e any evaluation period used by the plan issuer; and</w:t>
            </w:r>
          </w:p>
          <w:p w14:paraId="079865AB" w14:textId="77777777" w:rsidR="00161A51" w:rsidRDefault="00726792" w:rsidP="00F1397F">
            <w:pPr>
              <w:pStyle w:val="Header"/>
              <w:numPr>
                <w:ilvl w:val="0"/>
                <w:numId w:val="2"/>
              </w:numPr>
              <w:jc w:val="both"/>
            </w:pPr>
            <w:r>
              <w:t>each affected physician is afforded, before any publication or other public dissemination, an opportunity to dispute the ranking or classification through a process that, at a minimum, includes</w:t>
            </w:r>
            <w:r w:rsidR="008476F0">
              <w:t xml:space="preserve"> certain</w:t>
            </w:r>
            <w:r>
              <w:t xml:space="preserve"> d</w:t>
            </w:r>
            <w:r>
              <w:t>ue process protections that conform to the following protections:</w:t>
            </w:r>
          </w:p>
          <w:p w14:paraId="4CE0B3D4" w14:textId="662FDC0F" w:rsidR="00CA1910" w:rsidRDefault="00726792" w:rsidP="00F1397F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the plan issuer provides at least 45 days' written notice to the physician of </w:t>
            </w:r>
            <w:r w:rsidRPr="00161A51">
              <w:t>the proposed rating, ranking, tiering, or comparison, including the methodologies, data, and all other informati</w:t>
            </w:r>
            <w:r w:rsidRPr="00161A51">
              <w:t>on utilized by the plan issuer in its rating, tiering, ranking, or comparison decision;</w:t>
            </w:r>
          </w:p>
          <w:p w14:paraId="5B18063E" w14:textId="551A06F0" w:rsidR="00161A51" w:rsidRDefault="00726792" w:rsidP="00F1397F">
            <w:pPr>
              <w:pStyle w:val="Header"/>
              <w:numPr>
                <w:ilvl w:val="1"/>
                <w:numId w:val="2"/>
              </w:numPr>
              <w:jc w:val="both"/>
            </w:pPr>
            <w:r w:rsidRPr="00161A51">
              <w:tab/>
              <w:t>in addition to any written fair reconsideration process and upon receiving a request for review within 30 days of the physician receiving the plan issuer</w:t>
            </w:r>
            <w:r w:rsidR="00533702">
              <w:t>'</w:t>
            </w:r>
            <w:r w:rsidRPr="00161A51">
              <w:t>s notice, the</w:t>
            </w:r>
            <w:r w:rsidRPr="00161A51">
              <w:t xml:space="preserve"> plan issuer provides a fair reconsideration proceeding at certain times by teleconference or in person at the physician's option</w:t>
            </w:r>
            <w:r>
              <w:t>;</w:t>
            </w:r>
          </w:p>
          <w:p w14:paraId="77149EEA" w14:textId="45E924CB" w:rsidR="00161A51" w:rsidRDefault="00726792" w:rsidP="00F1397F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the physician </w:t>
            </w:r>
            <w:r w:rsidRPr="00161A51">
              <w:t>has the right to provide information at that proceeding for determination by a decision-maker, have a represent</w:t>
            </w:r>
            <w:r w:rsidRPr="00161A51">
              <w:t>ative participate in the proceeding, and submit a written statement at the conclusion of the proceeding;</w:t>
            </w:r>
            <w:r>
              <w:t xml:space="preserve"> and</w:t>
            </w:r>
          </w:p>
          <w:p w14:paraId="1C35529F" w14:textId="6288F6B5" w:rsidR="00161A51" w:rsidRDefault="00726792" w:rsidP="00F1397F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the plan </w:t>
            </w:r>
            <w:r w:rsidRPr="00161A51">
              <w:t>issuer provides a written communication of the proceeding</w:t>
            </w:r>
            <w:r w:rsidR="00533702">
              <w:t>'</w:t>
            </w:r>
            <w:r w:rsidRPr="00161A51">
              <w:t>s outcome, including the specific reasons for the final decision, prior to any p</w:t>
            </w:r>
            <w:r w:rsidRPr="00161A51">
              <w:t>ublication or dissemination of the rating, ranking, tiering, or comparison</w:t>
            </w:r>
            <w:r>
              <w:t>.</w:t>
            </w:r>
          </w:p>
          <w:p w14:paraId="4DBF89B1" w14:textId="62F23422" w:rsidR="00E752A0" w:rsidRDefault="00726792" w:rsidP="00F1397F">
            <w:pPr>
              <w:pStyle w:val="Header"/>
              <w:jc w:val="both"/>
            </w:pPr>
            <w:r>
              <w:t xml:space="preserve">The bill </w:t>
            </w:r>
            <w:r w:rsidR="002706A6">
              <w:t>prohibits</w:t>
            </w:r>
            <w:r w:rsidR="001E1005">
              <w:t xml:space="preserve"> a health benefit plan issuer </w:t>
            </w:r>
            <w:r w:rsidR="00F4074E">
              <w:t xml:space="preserve">instead </w:t>
            </w:r>
            <w:r w:rsidR="002706A6">
              <w:t>from</w:t>
            </w:r>
            <w:r w:rsidR="001E1005">
              <w:t xml:space="preserve"> rank</w:t>
            </w:r>
            <w:r w:rsidR="002706A6">
              <w:t>ing</w:t>
            </w:r>
            <w:r w:rsidR="001E1005">
              <w:t xml:space="preserve"> physicians or classif</w:t>
            </w:r>
            <w:r w:rsidR="002706A6">
              <w:t>ying</w:t>
            </w:r>
            <w:r w:rsidR="001E1005">
              <w:t xml:space="preserve"> physicians into tiers based on performance </w:t>
            </w:r>
            <w:r w:rsidR="002706A6">
              <w:t>unless</w:t>
            </w:r>
            <w:r>
              <w:t xml:space="preserve"> the following</w:t>
            </w:r>
            <w:r w:rsidR="001E1005">
              <w:t xml:space="preserve"> </w:t>
            </w:r>
            <w:r w:rsidR="002706A6">
              <w:t>requirements are met</w:t>
            </w:r>
            <w:r>
              <w:t>:</w:t>
            </w:r>
          </w:p>
          <w:p w14:paraId="0BEBE0B1" w14:textId="662CA892" w:rsidR="00E752A0" w:rsidRDefault="00726792" w:rsidP="00F1397F">
            <w:pPr>
              <w:pStyle w:val="Header"/>
              <w:numPr>
                <w:ilvl w:val="0"/>
                <w:numId w:val="4"/>
              </w:numPr>
              <w:jc w:val="both"/>
            </w:pPr>
            <w:r>
              <w:t>the standards used by the health benefit plan issuer to rank or classify are propagated or developed by an organization designated by the commissioner through adopted ru</w:t>
            </w:r>
            <w:r>
              <w:t>les;</w:t>
            </w:r>
          </w:p>
          <w:p w14:paraId="73179607" w14:textId="17D4740A" w:rsidR="00E752A0" w:rsidRDefault="00726792" w:rsidP="00F1397F">
            <w:pPr>
              <w:pStyle w:val="Header"/>
              <w:numPr>
                <w:ilvl w:val="0"/>
                <w:numId w:val="4"/>
              </w:numPr>
              <w:jc w:val="both"/>
            </w:pPr>
            <w:r>
              <w:t>the ranking, comparison, or evaluation:</w:t>
            </w:r>
          </w:p>
          <w:p w14:paraId="6AE37F6E" w14:textId="4C7453BD" w:rsidR="00E752A0" w:rsidRDefault="00726792" w:rsidP="00F1397F">
            <w:pPr>
              <w:pStyle w:val="Header"/>
              <w:numPr>
                <w:ilvl w:val="1"/>
                <w:numId w:val="4"/>
              </w:numPr>
              <w:jc w:val="both"/>
            </w:pPr>
            <w:r>
              <w:t>is disclosed to each affected physician at least 45 days before the date the ranking, comparison, or evaluation is released, published, or distributed to enrollees by the health benefit plan issuer; and</w:t>
            </w:r>
          </w:p>
          <w:p w14:paraId="349C8696" w14:textId="37CA99E3" w:rsidR="00E752A0" w:rsidRDefault="00726792" w:rsidP="00F1397F">
            <w:pPr>
              <w:pStyle w:val="Header"/>
              <w:numPr>
                <w:ilvl w:val="1"/>
                <w:numId w:val="4"/>
              </w:numPr>
              <w:jc w:val="both"/>
            </w:pPr>
            <w:r>
              <w:t>identifies which products or networks offered by the health benefit plan issuer the ranking, comparison, or evaluation will be used for; and</w:t>
            </w:r>
          </w:p>
          <w:p w14:paraId="5EC8EC5E" w14:textId="670EA6FD" w:rsidR="00711FE1" w:rsidRDefault="00726792" w:rsidP="00F1397F">
            <w:pPr>
              <w:pStyle w:val="Header"/>
              <w:numPr>
                <w:ilvl w:val="0"/>
                <w:numId w:val="4"/>
              </w:numPr>
              <w:jc w:val="both"/>
            </w:pPr>
            <w:r>
              <w:t>each affected physician is given an easy-to-use process to identify discrepancies between the standards and the ran</w:t>
            </w:r>
            <w:r>
              <w:t>king, comparison, or evaluation as propagated by the health benefit plan issuer</w:t>
            </w:r>
            <w:r w:rsidR="002706A6">
              <w:t>.</w:t>
            </w:r>
          </w:p>
          <w:p w14:paraId="2F5636CF" w14:textId="7C443910" w:rsidR="00E752A0" w:rsidRDefault="00726792" w:rsidP="00F1397F">
            <w:pPr>
              <w:pStyle w:val="Header"/>
              <w:jc w:val="both"/>
            </w:pPr>
            <w:r w:rsidRPr="002706A6">
              <w:t xml:space="preserve">If a physician submits information to a </w:t>
            </w:r>
            <w:r w:rsidR="00E626C8">
              <w:t xml:space="preserve">health benefit plan issuer </w:t>
            </w:r>
            <w:r w:rsidR="009A3576">
              <w:t xml:space="preserve">to establish such a discrepancy, the health benefit plan issuer </w:t>
            </w:r>
            <w:r w:rsidR="00E626C8">
              <w:t>must remedy the discrepancy by the later of publication or the 30th day after the date the health benefit plan issuer receives the information.</w:t>
            </w:r>
          </w:p>
          <w:p w14:paraId="37AA48B8" w14:textId="4CC7200E" w:rsidR="00E626C8" w:rsidRDefault="00E626C8" w:rsidP="00F1397F">
            <w:pPr>
              <w:pStyle w:val="Header"/>
              <w:jc w:val="both"/>
            </w:pPr>
          </w:p>
          <w:p w14:paraId="1811441B" w14:textId="4C7EC22C" w:rsidR="00306DA4" w:rsidRDefault="00726792" w:rsidP="00F1397F">
            <w:pPr>
              <w:pStyle w:val="Header"/>
              <w:jc w:val="both"/>
            </w:pPr>
            <w:r>
              <w:t>C.S.</w:t>
            </w:r>
            <w:r w:rsidR="00E626C8">
              <w:t xml:space="preserve">H.B. </w:t>
            </w:r>
            <w:r w:rsidR="00E626C8" w:rsidRPr="00803264">
              <w:t>3351</w:t>
            </w:r>
            <w:r w:rsidR="00E626C8">
              <w:t xml:space="preserve"> removes the </w:t>
            </w:r>
            <w:r>
              <w:t>requirement for the commissioner</w:t>
            </w:r>
            <w:r w:rsidR="009A3576">
              <w:t>, in adopting rules regarding standards for physician rankings by health benefit plans,</w:t>
            </w:r>
            <w:r>
              <w:t xml:space="preserve"> to </w:t>
            </w:r>
            <w:r w:rsidRPr="00306DA4">
              <w:t>consid</w:t>
            </w:r>
            <w:r w:rsidRPr="00306DA4">
              <w:t xml:space="preserve">er the standards, guidelines, and measures prescribed by </w:t>
            </w:r>
            <w:r w:rsidR="000B0B3D">
              <w:t xml:space="preserve">certain </w:t>
            </w:r>
            <w:r w:rsidRPr="00306DA4">
              <w:t>nationally recognized</w:t>
            </w:r>
            <w:r>
              <w:t xml:space="preserve"> </w:t>
            </w:r>
            <w:r w:rsidRPr="00306DA4">
              <w:t>organizations that</w:t>
            </w:r>
            <w:r>
              <w:t xml:space="preserve"> </w:t>
            </w:r>
            <w:r w:rsidRPr="00306DA4">
              <w:t>establish or promote guidelines and performance measures emphasizing quality of health care.</w:t>
            </w:r>
            <w:r>
              <w:t xml:space="preserve"> The bill </w:t>
            </w:r>
            <w:r w:rsidR="000B0B3D">
              <w:t>instead</w:t>
            </w:r>
            <w:r>
              <w:t xml:space="preserve"> </w:t>
            </w:r>
            <w:r w:rsidR="00CA1C90">
              <w:t xml:space="preserve">limits the </w:t>
            </w:r>
            <w:r>
              <w:t>authori</w:t>
            </w:r>
            <w:r w:rsidR="00CA1C90">
              <w:t>ty of</w:t>
            </w:r>
            <w:r>
              <w:t xml:space="preserve"> the </w:t>
            </w:r>
            <w:r w:rsidRPr="00306DA4">
              <w:t>commissioner</w:t>
            </w:r>
            <w:r w:rsidRPr="00306DA4">
              <w:t xml:space="preserve"> </w:t>
            </w:r>
            <w:r>
              <w:t>to</w:t>
            </w:r>
            <w:r w:rsidRPr="00306DA4">
              <w:t xml:space="preserve"> designate</w:t>
            </w:r>
            <w:r>
              <w:t xml:space="preserve"> </w:t>
            </w:r>
            <w:r w:rsidR="00CA1C90">
              <w:t xml:space="preserve">an </w:t>
            </w:r>
            <w:r>
              <w:t>organization</w:t>
            </w:r>
            <w:r w:rsidR="00CA1C90">
              <w:t xml:space="preserve"> in adopting such rules to an organization</w:t>
            </w:r>
            <w:r>
              <w:t xml:space="preserve"> that meet</w:t>
            </w:r>
            <w:r w:rsidR="007911FA">
              <w:t>s</w:t>
            </w:r>
            <w:r>
              <w:t xml:space="preserve"> the following requirements:</w:t>
            </w:r>
          </w:p>
          <w:p w14:paraId="696E8FD4" w14:textId="63F9E09C" w:rsidR="00306DA4" w:rsidRDefault="00726792" w:rsidP="00F1397F">
            <w:pPr>
              <w:pStyle w:val="Header"/>
              <w:numPr>
                <w:ilvl w:val="0"/>
                <w:numId w:val="6"/>
              </w:numPr>
              <w:jc w:val="both"/>
            </w:pPr>
            <w:r>
              <w:t>the prescribing organization is bona fide and unbiased toward or against any medical provider;</w:t>
            </w:r>
          </w:p>
          <w:p w14:paraId="5190B7EB" w14:textId="35EBE42F" w:rsidR="00306DA4" w:rsidRDefault="00726792" w:rsidP="00F1397F">
            <w:pPr>
              <w:pStyle w:val="Header"/>
              <w:numPr>
                <w:ilvl w:val="0"/>
                <w:numId w:val="6"/>
              </w:numPr>
              <w:jc w:val="both"/>
            </w:pPr>
            <w:r>
              <w:t>the standards to be used in rankings, comparisons,</w:t>
            </w:r>
            <w:r>
              <w:t xml:space="preserve"> or evaluations:</w:t>
            </w:r>
          </w:p>
          <w:p w14:paraId="37EC8E89" w14:textId="49AA07FD" w:rsidR="00306DA4" w:rsidRDefault="00726792" w:rsidP="00F1397F">
            <w:pPr>
              <w:pStyle w:val="Header"/>
              <w:numPr>
                <w:ilvl w:val="1"/>
                <w:numId w:val="6"/>
              </w:numPr>
              <w:jc w:val="both"/>
            </w:pPr>
            <w:r>
              <w:t>are nationally recognized, or based on expert-provider consensus or leading clinical evidence-based scholarship;</w:t>
            </w:r>
          </w:p>
          <w:p w14:paraId="0924E149" w14:textId="56122499" w:rsidR="00306DA4" w:rsidRDefault="00726792" w:rsidP="00F1397F">
            <w:pPr>
              <w:pStyle w:val="Header"/>
              <w:numPr>
                <w:ilvl w:val="1"/>
                <w:numId w:val="6"/>
              </w:numPr>
              <w:jc w:val="both"/>
            </w:pPr>
            <w:r>
              <w:t>have a publicly transparent methodology; and</w:t>
            </w:r>
          </w:p>
          <w:p w14:paraId="66E353E1" w14:textId="1112D8F4" w:rsidR="00306DA4" w:rsidRDefault="00726792" w:rsidP="00F1397F">
            <w:pPr>
              <w:pStyle w:val="Header"/>
              <w:numPr>
                <w:ilvl w:val="1"/>
                <w:numId w:val="6"/>
              </w:numPr>
              <w:jc w:val="both"/>
            </w:pPr>
            <w:r>
              <w:t>if based on clinical outcomes, are risk-adjusted; and</w:t>
            </w:r>
          </w:p>
          <w:p w14:paraId="0E25890A" w14:textId="33BBA3D5" w:rsidR="00E626C8" w:rsidRPr="009C36CD" w:rsidRDefault="00726792" w:rsidP="00F1397F">
            <w:pPr>
              <w:pStyle w:val="Header"/>
              <w:numPr>
                <w:ilvl w:val="0"/>
                <w:numId w:val="6"/>
              </w:numPr>
              <w:jc w:val="both"/>
            </w:pPr>
            <w:r>
              <w:t>the prescribing organizatio</w:t>
            </w:r>
            <w:r>
              <w:t>n has an easy-to-use process by which a medical provider may report data, evidentiary, factual, or mathematical errors for prompt investigation and, if appropriate, correction</w:t>
            </w:r>
            <w:r w:rsidR="00CA1C90">
              <w:t>.</w:t>
            </w:r>
          </w:p>
          <w:p w14:paraId="76A4B057" w14:textId="77777777" w:rsidR="008423E4" w:rsidRPr="00835628" w:rsidRDefault="008423E4" w:rsidP="00F1397F">
            <w:pPr>
              <w:rPr>
                <w:b/>
              </w:rPr>
            </w:pPr>
          </w:p>
        </w:tc>
      </w:tr>
      <w:tr w:rsidR="00A04F29" w14:paraId="0AC24F9C" w14:textId="77777777" w:rsidTr="00533702">
        <w:tc>
          <w:tcPr>
            <w:tcW w:w="9360" w:type="dxa"/>
          </w:tcPr>
          <w:p w14:paraId="5C74E01F" w14:textId="77777777" w:rsidR="008423E4" w:rsidRPr="00A8133F" w:rsidRDefault="00726792" w:rsidP="00F1397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AC6DC55" w14:textId="77777777" w:rsidR="008423E4" w:rsidRDefault="008423E4" w:rsidP="00F1397F"/>
          <w:p w14:paraId="09FF5EE8" w14:textId="5D211095" w:rsidR="008423E4" w:rsidRPr="003624F2" w:rsidRDefault="00726792" w:rsidP="00F1397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</w:t>
            </w:r>
            <w:r>
              <w:t>necessary vote, September 1, 2023.</w:t>
            </w:r>
          </w:p>
          <w:p w14:paraId="24E89C56" w14:textId="77777777" w:rsidR="008423E4" w:rsidRPr="00233FDB" w:rsidRDefault="008423E4" w:rsidP="00F1397F">
            <w:pPr>
              <w:rPr>
                <w:b/>
              </w:rPr>
            </w:pPr>
          </w:p>
        </w:tc>
      </w:tr>
      <w:tr w:rsidR="00A04F29" w14:paraId="6824C882" w14:textId="77777777" w:rsidTr="00533702">
        <w:tc>
          <w:tcPr>
            <w:tcW w:w="9360" w:type="dxa"/>
          </w:tcPr>
          <w:p w14:paraId="1DD56920" w14:textId="77777777" w:rsidR="007377C3" w:rsidRDefault="00726792" w:rsidP="00F1397F">
            <w:pPr>
              <w:pStyle w:val="Header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3151CF3" w14:textId="77777777" w:rsidR="002A0CCC" w:rsidRDefault="002A0CCC" w:rsidP="00F1397F">
            <w:pPr>
              <w:pStyle w:val="Header"/>
              <w:jc w:val="both"/>
              <w:rPr>
                <w:b/>
                <w:u w:val="single"/>
              </w:rPr>
            </w:pPr>
          </w:p>
          <w:p w14:paraId="7C04682C" w14:textId="77777777" w:rsidR="00161A51" w:rsidRDefault="00726792" w:rsidP="00F1397F">
            <w:pPr>
              <w:jc w:val="both"/>
            </w:pPr>
            <w:r>
              <w:t xml:space="preserve">While C.S.H.B. </w:t>
            </w:r>
            <w:r w:rsidRPr="00803264">
              <w:t>3351</w:t>
            </w:r>
            <w:r>
              <w:t xml:space="preserve"> may differ from the introduced in minor or nonsubstantive ways, the following summarizes the substantial differences between the introduced and committee subs</w:t>
            </w:r>
            <w:r>
              <w:t>titute versions of the bill.</w:t>
            </w:r>
          </w:p>
          <w:p w14:paraId="501D4E47" w14:textId="77777777" w:rsidR="00161A51" w:rsidRDefault="00161A51" w:rsidP="00F1397F">
            <w:pPr>
              <w:jc w:val="both"/>
            </w:pPr>
          </w:p>
          <w:p w14:paraId="0F50E206" w14:textId="77777777" w:rsidR="00161A51" w:rsidRDefault="00726792" w:rsidP="00F1397F">
            <w:pPr>
              <w:jc w:val="both"/>
            </w:pPr>
            <w:r w:rsidRPr="002A0CCC">
              <w:t>The substitute include</w:t>
            </w:r>
            <w:r>
              <w:t>s a</w:t>
            </w:r>
            <w:r w:rsidRPr="002A0CCC">
              <w:t xml:space="preserve"> provision that </w:t>
            </w:r>
            <w:r>
              <w:t>was not</w:t>
            </w:r>
            <w:r w:rsidRPr="002A0CCC">
              <w:t xml:space="preserve"> in the introduced</w:t>
            </w:r>
            <w:r>
              <w:t xml:space="preserve"> removing the requirement that a </w:t>
            </w:r>
            <w:r w:rsidRPr="007911FA">
              <w:t>health benefit plan issuer that ranks physicians or classifies physicians into tiers based on performance</w:t>
            </w:r>
            <w:r>
              <w:t xml:space="preserve"> use standards that </w:t>
            </w:r>
            <w:r w:rsidRPr="00227868">
              <w:t>co</w:t>
            </w:r>
            <w:r w:rsidRPr="00227868">
              <w:t xml:space="preserve">nform to nationally recognized standards and guidelines as required by </w:t>
            </w:r>
            <w:r>
              <w:t xml:space="preserve">commissioner </w:t>
            </w:r>
            <w:r w:rsidRPr="00227868">
              <w:t>rule</w:t>
            </w:r>
            <w:r>
              <w:t xml:space="preserve">s. </w:t>
            </w:r>
            <w:r w:rsidRPr="002A0CCC">
              <w:t xml:space="preserve">The substitute </w:t>
            </w:r>
            <w:r>
              <w:t xml:space="preserve">also </w:t>
            </w:r>
            <w:r w:rsidRPr="002A0CCC">
              <w:t xml:space="preserve">includes provisions that were not in the introduced </w:t>
            </w:r>
            <w:r>
              <w:t xml:space="preserve">setting out the requirements that must be met </w:t>
            </w:r>
            <w:r w:rsidRPr="0011647D">
              <w:t xml:space="preserve">by </w:t>
            </w:r>
            <w:r>
              <w:t>a</w:t>
            </w:r>
            <w:r w:rsidRPr="0011647D">
              <w:t xml:space="preserve"> health benefit plan issuer</w:t>
            </w:r>
            <w:r>
              <w:t xml:space="preserve"> that ranks or c</w:t>
            </w:r>
            <w:r>
              <w:t xml:space="preserve">lassifies physicians into tiers based on performance and providing for a process for remedying discrepancies established by an affected physician. </w:t>
            </w:r>
          </w:p>
          <w:p w14:paraId="2CFBA6B2" w14:textId="77777777" w:rsidR="00161A51" w:rsidRDefault="00161A51" w:rsidP="00F1397F">
            <w:pPr>
              <w:jc w:val="both"/>
            </w:pPr>
          </w:p>
          <w:p w14:paraId="4D36BC13" w14:textId="77777777" w:rsidR="00161A51" w:rsidRDefault="00726792" w:rsidP="00F1397F">
            <w:pPr>
              <w:jc w:val="both"/>
            </w:pPr>
            <w:r>
              <w:t>The substitute omits a provision from</w:t>
            </w:r>
            <w:r w:rsidRPr="006C5941">
              <w:t xml:space="preserve"> the introduced</w:t>
            </w:r>
            <w:r>
              <w:t xml:space="preserve"> making the physician ranking requirements inapplicable</w:t>
            </w:r>
            <w:r>
              <w:t xml:space="preserve"> to the </w:t>
            </w:r>
            <w:r w:rsidRPr="00D53AFF">
              <w:t>provision of physician</w:t>
            </w:r>
            <w:r>
              <w:noBreakHyphen/>
            </w:r>
            <w:r w:rsidRPr="00D53AFF">
              <w:t>specific cost comparison information from a health benefit plan issuer to a network physician whose payment by the plan issuer to the physician is partly based on costs of other health care providers that are attributed by th</w:t>
            </w:r>
            <w:r w:rsidRPr="00D53AFF">
              <w:t>e plan issuer.</w:t>
            </w:r>
          </w:p>
          <w:p w14:paraId="47DA14B2" w14:textId="77777777" w:rsidR="00161A51" w:rsidRDefault="00161A51" w:rsidP="00F1397F">
            <w:pPr>
              <w:jc w:val="both"/>
            </w:pPr>
          </w:p>
          <w:p w14:paraId="50159C94" w14:textId="1458CACE" w:rsidR="00161A51" w:rsidRPr="007377C3" w:rsidRDefault="00726792" w:rsidP="00F1397F">
            <w:pPr>
              <w:pStyle w:val="Header"/>
              <w:jc w:val="both"/>
              <w:rPr>
                <w:b/>
                <w:u w:val="single"/>
              </w:rPr>
            </w:pPr>
            <w:r w:rsidRPr="006C5941">
              <w:t xml:space="preserve">The substitute includes provisions that were not in the introduced </w:t>
            </w:r>
            <w:r>
              <w:t xml:space="preserve">replacing the requirement for the commissioner of insurance, in adopting rules regarding standards for physician rankings by health benefit plans, to </w:t>
            </w:r>
            <w:r w:rsidRPr="00306DA4">
              <w:t>consider the standards,</w:t>
            </w:r>
            <w:r w:rsidRPr="00306DA4">
              <w:t xml:space="preserve"> guidelines, and measures prescribed by</w:t>
            </w:r>
            <w:r>
              <w:t xml:space="preserve"> certain</w:t>
            </w:r>
            <w:r w:rsidRPr="00306DA4">
              <w:t xml:space="preserve"> nationally recognized</w:t>
            </w:r>
            <w:r>
              <w:t xml:space="preserve"> </w:t>
            </w:r>
            <w:r w:rsidRPr="00306DA4">
              <w:t>organizations that</w:t>
            </w:r>
            <w:r>
              <w:t xml:space="preserve"> </w:t>
            </w:r>
            <w:r w:rsidRPr="00306DA4">
              <w:t>establish or promote guidelines and performance measures emphasizing quality of health care</w:t>
            </w:r>
            <w:r>
              <w:t xml:space="preserve"> with a limitation on the authority of the </w:t>
            </w:r>
            <w:r w:rsidRPr="00306DA4">
              <w:t xml:space="preserve">commissioner </w:t>
            </w:r>
            <w:r>
              <w:t>to</w:t>
            </w:r>
            <w:r w:rsidRPr="00306DA4">
              <w:t xml:space="preserve"> designate</w:t>
            </w:r>
            <w:r>
              <w:t xml:space="preserve"> an organization, in adopting such rules, that meets certain requirements.</w:t>
            </w:r>
          </w:p>
        </w:tc>
      </w:tr>
    </w:tbl>
    <w:p w14:paraId="5B74C845" w14:textId="77777777" w:rsidR="008423E4" w:rsidRPr="00BE0E75" w:rsidRDefault="008423E4" w:rsidP="00F1397F">
      <w:pPr>
        <w:jc w:val="both"/>
        <w:rPr>
          <w:rFonts w:ascii="Arial" w:hAnsi="Arial"/>
          <w:sz w:val="16"/>
          <w:szCs w:val="16"/>
        </w:rPr>
      </w:pPr>
    </w:p>
    <w:p w14:paraId="2A33EC8A" w14:textId="77777777" w:rsidR="004108C3" w:rsidRPr="008423E4" w:rsidRDefault="004108C3" w:rsidP="00F1397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1F3D" w14:textId="77777777" w:rsidR="00000000" w:rsidRDefault="00726792">
      <w:r>
        <w:separator/>
      </w:r>
    </w:p>
  </w:endnote>
  <w:endnote w:type="continuationSeparator" w:id="0">
    <w:p w14:paraId="0D2DB870" w14:textId="77777777" w:rsidR="00000000" w:rsidRDefault="0072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C19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04F29" w14:paraId="62422675" w14:textId="77777777" w:rsidTr="009C1E9A">
      <w:trPr>
        <w:cantSplit/>
      </w:trPr>
      <w:tc>
        <w:tcPr>
          <w:tcW w:w="0" w:type="pct"/>
        </w:tcPr>
        <w:p w14:paraId="5E081E2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87903C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93963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F634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51129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4F29" w14:paraId="23AF8194" w14:textId="77777777" w:rsidTr="009C1E9A">
      <w:trPr>
        <w:cantSplit/>
      </w:trPr>
      <w:tc>
        <w:tcPr>
          <w:tcW w:w="0" w:type="pct"/>
        </w:tcPr>
        <w:p w14:paraId="1ECA31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E9CEED" w14:textId="360E345E" w:rsidR="00EC379B" w:rsidRPr="009C1E9A" w:rsidRDefault="0072679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26479-D</w:t>
          </w:r>
        </w:p>
      </w:tc>
      <w:tc>
        <w:tcPr>
          <w:tcW w:w="2453" w:type="pct"/>
        </w:tcPr>
        <w:p w14:paraId="1DB429AD" w14:textId="3B6D6F92" w:rsidR="00EC379B" w:rsidRDefault="0072679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2411C">
            <w:t>23.115.2257</w:t>
          </w:r>
          <w:r>
            <w:fldChar w:fldCharType="end"/>
          </w:r>
        </w:p>
      </w:tc>
    </w:tr>
    <w:tr w:rsidR="00A04F29" w14:paraId="5A3A0543" w14:textId="77777777" w:rsidTr="009C1E9A">
      <w:trPr>
        <w:cantSplit/>
      </w:trPr>
      <w:tc>
        <w:tcPr>
          <w:tcW w:w="0" w:type="pct"/>
        </w:tcPr>
        <w:p w14:paraId="1F0AD94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3ED381" w14:textId="373E6113" w:rsidR="00EC379B" w:rsidRPr="009C1E9A" w:rsidRDefault="0072679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23304</w:t>
          </w:r>
        </w:p>
      </w:tc>
      <w:tc>
        <w:tcPr>
          <w:tcW w:w="2453" w:type="pct"/>
        </w:tcPr>
        <w:p w14:paraId="4B45041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1BA7C2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04F29" w14:paraId="29E3727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EE8C968" w14:textId="77777777" w:rsidR="00EC379B" w:rsidRDefault="0072679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38394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AB4C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9D7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7619" w14:textId="77777777" w:rsidR="00000000" w:rsidRDefault="00726792">
      <w:r>
        <w:separator/>
      </w:r>
    </w:p>
  </w:footnote>
  <w:footnote w:type="continuationSeparator" w:id="0">
    <w:p w14:paraId="0490FBD4" w14:textId="77777777" w:rsidR="00000000" w:rsidRDefault="0072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621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4B60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095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BA3"/>
    <w:multiLevelType w:val="hybridMultilevel"/>
    <w:tmpl w:val="6FD6C28C"/>
    <w:lvl w:ilvl="0" w:tplc="B0182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DE6A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66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4D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EE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C3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47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C24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88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02CD"/>
    <w:multiLevelType w:val="hybridMultilevel"/>
    <w:tmpl w:val="3B9E89C6"/>
    <w:lvl w:ilvl="0" w:tplc="C1D81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6C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661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E7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2A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D2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49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9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2F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E052D"/>
    <w:multiLevelType w:val="hybridMultilevel"/>
    <w:tmpl w:val="5C04713C"/>
    <w:lvl w:ilvl="0" w:tplc="70E2F43C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5A3AD39C">
      <w:start w:val="1"/>
      <w:numFmt w:val="upperLetter"/>
      <w:lvlText w:val="(%2)"/>
      <w:lvlJc w:val="left"/>
      <w:pPr>
        <w:ind w:left="1665" w:hanging="585"/>
      </w:pPr>
      <w:rPr>
        <w:rFonts w:hint="default"/>
      </w:rPr>
    </w:lvl>
    <w:lvl w:ilvl="2" w:tplc="A6DE0668" w:tentative="1">
      <w:start w:val="1"/>
      <w:numFmt w:val="lowerRoman"/>
      <w:lvlText w:val="%3."/>
      <w:lvlJc w:val="right"/>
      <w:pPr>
        <w:ind w:left="2160" w:hanging="180"/>
      </w:pPr>
    </w:lvl>
    <w:lvl w:ilvl="3" w:tplc="3454D670" w:tentative="1">
      <w:start w:val="1"/>
      <w:numFmt w:val="decimal"/>
      <w:lvlText w:val="%4."/>
      <w:lvlJc w:val="left"/>
      <w:pPr>
        <w:ind w:left="2880" w:hanging="360"/>
      </w:pPr>
    </w:lvl>
    <w:lvl w:ilvl="4" w:tplc="06E627C6" w:tentative="1">
      <w:start w:val="1"/>
      <w:numFmt w:val="lowerLetter"/>
      <w:lvlText w:val="%5."/>
      <w:lvlJc w:val="left"/>
      <w:pPr>
        <w:ind w:left="3600" w:hanging="360"/>
      </w:pPr>
    </w:lvl>
    <w:lvl w:ilvl="5" w:tplc="4EF21D52" w:tentative="1">
      <w:start w:val="1"/>
      <w:numFmt w:val="lowerRoman"/>
      <w:lvlText w:val="%6."/>
      <w:lvlJc w:val="right"/>
      <w:pPr>
        <w:ind w:left="4320" w:hanging="180"/>
      </w:pPr>
    </w:lvl>
    <w:lvl w:ilvl="6" w:tplc="31447F0E" w:tentative="1">
      <w:start w:val="1"/>
      <w:numFmt w:val="decimal"/>
      <w:lvlText w:val="%7."/>
      <w:lvlJc w:val="left"/>
      <w:pPr>
        <w:ind w:left="5040" w:hanging="360"/>
      </w:pPr>
    </w:lvl>
    <w:lvl w:ilvl="7" w:tplc="A04E7C76" w:tentative="1">
      <w:start w:val="1"/>
      <w:numFmt w:val="lowerLetter"/>
      <w:lvlText w:val="%8."/>
      <w:lvlJc w:val="left"/>
      <w:pPr>
        <w:ind w:left="5760" w:hanging="360"/>
      </w:pPr>
    </w:lvl>
    <w:lvl w:ilvl="8" w:tplc="2CFE9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3199C"/>
    <w:multiLevelType w:val="hybridMultilevel"/>
    <w:tmpl w:val="7ADCAA34"/>
    <w:lvl w:ilvl="0" w:tplc="CA361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06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80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26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67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8F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05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25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66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C0D53"/>
    <w:multiLevelType w:val="hybridMultilevel"/>
    <w:tmpl w:val="CED0920E"/>
    <w:lvl w:ilvl="0" w:tplc="3488A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907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403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62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6B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6B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02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4C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04343"/>
    <w:multiLevelType w:val="hybridMultilevel"/>
    <w:tmpl w:val="251E48AA"/>
    <w:lvl w:ilvl="0" w:tplc="C316B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8EF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28D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83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8F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6C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C4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C9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16D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7256C"/>
    <w:multiLevelType w:val="hybridMultilevel"/>
    <w:tmpl w:val="9FAACEE6"/>
    <w:lvl w:ilvl="0" w:tplc="F0627A3E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FCDAD348">
      <w:start w:val="1"/>
      <w:numFmt w:val="upperLetter"/>
      <w:lvlText w:val="(%2)"/>
      <w:lvlJc w:val="left"/>
      <w:pPr>
        <w:ind w:left="1635" w:hanging="555"/>
      </w:pPr>
      <w:rPr>
        <w:rFonts w:hint="default"/>
      </w:rPr>
    </w:lvl>
    <w:lvl w:ilvl="2" w:tplc="0C0EEAB4" w:tentative="1">
      <w:start w:val="1"/>
      <w:numFmt w:val="lowerRoman"/>
      <w:lvlText w:val="%3."/>
      <w:lvlJc w:val="right"/>
      <w:pPr>
        <w:ind w:left="2160" w:hanging="180"/>
      </w:pPr>
    </w:lvl>
    <w:lvl w:ilvl="3" w:tplc="C2AA808E" w:tentative="1">
      <w:start w:val="1"/>
      <w:numFmt w:val="decimal"/>
      <w:lvlText w:val="%4."/>
      <w:lvlJc w:val="left"/>
      <w:pPr>
        <w:ind w:left="2880" w:hanging="360"/>
      </w:pPr>
    </w:lvl>
    <w:lvl w:ilvl="4" w:tplc="6E4CB2F6" w:tentative="1">
      <w:start w:val="1"/>
      <w:numFmt w:val="lowerLetter"/>
      <w:lvlText w:val="%5."/>
      <w:lvlJc w:val="left"/>
      <w:pPr>
        <w:ind w:left="3600" w:hanging="360"/>
      </w:pPr>
    </w:lvl>
    <w:lvl w:ilvl="5" w:tplc="3FC25140" w:tentative="1">
      <w:start w:val="1"/>
      <w:numFmt w:val="lowerRoman"/>
      <w:lvlText w:val="%6."/>
      <w:lvlJc w:val="right"/>
      <w:pPr>
        <w:ind w:left="4320" w:hanging="180"/>
      </w:pPr>
    </w:lvl>
    <w:lvl w:ilvl="6" w:tplc="5E22D8D4" w:tentative="1">
      <w:start w:val="1"/>
      <w:numFmt w:val="decimal"/>
      <w:lvlText w:val="%7."/>
      <w:lvlJc w:val="left"/>
      <w:pPr>
        <w:ind w:left="5040" w:hanging="360"/>
      </w:pPr>
    </w:lvl>
    <w:lvl w:ilvl="7" w:tplc="CCF8C932" w:tentative="1">
      <w:start w:val="1"/>
      <w:numFmt w:val="lowerLetter"/>
      <w:lvlText w:val="%8."/>
      <w:lvlJc w:val="left"/>
      <w:pPr>
        <w:ind w:left="5760" w:hanging="360"/>
      </w:pPr>
    </w:lvl>
    <w:lvl w:ilvl="8" w:tplc="F940A3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83738">
    <w:abstractNumId w:val="5"/>
  </w:num>
  <w:num w:numId="2" w16cid:durableId="1455833532">
    <w:abstractNumId w:val="0"/>
  </w:num>
  <w:num w:numId="3" w16cid:durableId="905144231">
    <w:abstractNumId w:val="4"/>
  </w:num>
  <w:num w:numId="4" w16cid:durableId="277296127">
    <w:abstractNumId w:val="1"/>
  </w:num>
  <w:num w:numId="5" w16cid:durableId="1073546366">
    <w:abstractNumId w:val="6"/>
  </w:num>
  <w:num w:numId="6" w16cid:durableId="1696082040">
    <w:abstractNumId w:val="3"/>
  </w:num>
  <w:num w:numId="7" w16cid:durableId="204146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64"/>
    <w:rsid w:val="00000A70"/>
    <w:rsid w:val="000032B8"/>
    <w:rsid w:val="00003B06"/>
    <w:rsid w:val="000054B9"/>
    <w:rsid w:val="00007461"/>
    <w:rsid w:val="000109BD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64D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B3D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D4C"/>
    <w:rsid w:val="000D769C"/>
    <w:rsid w:val="000E1976"/>
    <w:rsid w:val="000E20F1"/>
    <w:rsid w:val="000E5B20"/>
    <w:rsid w:val="000E7C14"/>
    <w:rsid w:val="000F094C"/>
    <w:rsid w:val="000F1392"/>
    <w:rsid w:val="000F14EA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47D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0D9F"/>
    <w:rsid w:val="00161A5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7D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72B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005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F67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868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6A6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0CCC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DA4"/>
    <w:rsid w:val="00313DFE"/>
    <w:rsid w:val="003143B2"/>
    <w:rsid w:val="00314821"/>
    <w:rsid w:val="0031483F"/>
    <w:rsid w:val="0031741B"/>
    <w:rsid w:val="00317A73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BD8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B33"/>
    <w:rsid w:val="003771C9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0AF9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40F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3702"/>
    <w:rsid w:val="00534A49"/>
    <w:rsid w:val="005363BB"/>
    <w:rsid w:val="00537273"/>
    <w:rsid w:val="00541B98"/>
    <w:rsid w:val="00541F10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4AA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9EA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941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831"/>
    <w:rsid w:val="006F0CCA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1FE1"/>
    <w:rsid w:val="00712DDA"/>
    <w:rsid w:val="00717739"/>
    <w:rsid w:val="00717DE4"/>
    <w:rsid w:val="00721724"/>
    <w:rsid w:val="00722EC5"/>
    <w:rsid w:val="00723326"/>
    <w:rsid w:val="00724252"/>
    <w:rsid w:val="00726792"/>
    <w:rsid w:val="00727E7A"/>
    <w:rsid w:val="0073163C"/>
    <w:rsid w:val="00731DE3"/>
    <w:rsid w:val="00735B9D"/>
    <w:rsid w:val="007365A5"/>
    <w:rsid w:val="00736FB0"/>
    <w:rsid w:val="007377C3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59C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1F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197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264"/>
    <w:rsid w:val="00804124"/>
    <w:rsid w:val="00805402"/>
    <w:rsid w:val="0080765F"/>
    <w:rsid w:val="00812BE3"/>
    <w:rsid w:val="00814516"/>
    <w:rsid w:val="00815C9D"/>
    <w:rsid w:val="008170E2"/>
    <w:rsid w:val="00821A53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6F0"/>
    <w:rsid w:val="00850CF0"/>
    <w:rsid w:val="008511A2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B56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D8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576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304E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4F29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1DB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4C5A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3FF7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289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8FB"/>
    <w:rsid w:val="00B43672"/>
    <w:rsid w:val="00B473D8"/>
    <w:rsid w:val="00B5165A"/>
    <w:rsid w:val="00B524C1"/>
    <w:rsid w:val="00B52C8D"/>
    <w:rsid w:val="00B564BF"/>
    <w:rsid w:val="00B577A4"/>
    <w:rsid w:val="00B6104E"/>
    <w:rsid w:val="00B610C7"/>
    <w:rsid w:val="00B62106"/>
    <w:rsid w:val="00B626A8"/>
    <w:rsid w:val="00B65695"/>
    <w:rsid w:val="00B65EC8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3D7C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1339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1910"/>
    <w:rsid w:val="00CA1C90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BC9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B5C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5A0"/>
    <w:rsid w:val="00D11B0B"/>
    <w:rsid w:val="00D12A3E"/>
    <w:rsid w:val="00D22160"/>
    <w:rsid w:val="00D22172"/>
    <w:rsid w:val="00D2301B"/>
    <w:rsid w:val="00D239EE"/>
    <w:rsid w:val="00D2411C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AFF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33EA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36D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26C8"/>
    <w:rsid w:val="00E634DC"/>
    <w:rsid w:val="00E667F3"/>
    <w:rsid w:val="00E67794"/>
    <w:rsid w:val="00E70CC6"/>
    <w:rsid w:val="00E71254"/>
    <w:rsid w:val="00E73CCD"/>
    <w:rsid w:val="00E752A0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588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97F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74E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DE2FC2-96DF-464D-9E8E-32B03666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37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72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727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7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7273"/>
    <w:rPr>
      <w:b/>
      <w:bCs/>
    </w:rPr>
  </w:style>
  <w:style w:type="paragraph" w:styleId="Revision">
    <w:name w:val="Revision"/>
    <w:hidden/>
    <w:uiPriority w:val="99"/>
    <w:semiHidden/>
    <w:rsid w:val="000109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6719</Characters>
  <Application>Microsoft Office Word</Application>
  <DocSecurity>4</DocSecurity>
  <Lines>130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HB03351 (Committee Report (Substituted))</vt:lpstr>
    </vt:vector>
  </TitlesOfParts>
  <Company>State of Texas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26479</dc:subject>
  <dc:creator>State of Texas</dc:creator>
  <dc:description>HB 3351 by Harris, Caroline-(H)Insurance (Substitute Document Number: 88R 23304)</dc:description>
  <cp:lastModifiedBy>Stacey Nicchio</cp:lastModifiedBy>
  <cp:revision>2</cp:revision>
  <cp:lastPrinted>2003-11-26T17:21:00Z</cp:lastPrinted>
  <dcterms:created xsi:type="dcterms:W3CDTF">2023-04-27T19:20:00Z</dcterms:created>
  <dcterms:modified xsi:type="dcterms:W3CDTF">2023-04-27T19:20:00Z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23.115.2257</vt:lpwstr>
  </property>
</Properties>
</file>