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C65EF" w14:paraId="61CF0B83" w14:textId="77777777" w:rsidTr="00345119">
        <w:tc>
          <w:tcPr>
            <w:tcW w:w="9576" w:type="dxa"/>
            <w:noWrap/>
          </w:tcPr>
          <w:p w14:paraId="5F2321A8" w14:textId="77777777" w:rsidR="008423E4" w:rsidRPr="0022177D" w:rsidRDefault="005B4039" w:rsidP="00675D21">
            <w:pPr>
              <w:pStyle w:val="Heading1"/>
            </w:pPr>
            <w:r w:rsidRPr="00631897">
              <w:t>BILL ANALYSIS</w:t>
            </w:r>
          </w:p>
        </w:tc>
      </w:tr>
    </w:tbl>
    <w:p w14:paraId="5EF9867E" w14:textId="77777777" w:rsidR="008423E4" w:rsidRPr="0022177D" w:rsidRDefault="008423E4" w:rsidP="00675D21">
      <w:pPr>
        <w:jc w:val="center"/>
      </w:pPr>
    </w:p>
    <w:p w14:paraId="25A96AD0" w14:textId="77777777" w:rsidR="008423E4" w:rsidRPr="00B31F0E" w:rsidRDefault="008423E4" w:rsidP="00675D21"/>
    <w:p w14:paraId="6F737BA3" w14:textId="77777777" w:rsidR="008423E4" w:rsidRPr="00742794" w:rsidRDefault="008423E4" w:rsidP="00675D2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C65EF" w14:paraId="0A2AF6FD" w14:textId="77777777" w:rsidTr="00345119">
        <w:tc>
          <w:tcPr>
            <w:tcW w:w="9576" w:type="dxa"/>
          </w:tcPr>
          <w:p w14:paraId="3C5B0065" w14:textId="7F240D7E" w:rsidR="008423E4" w:rsidRPr="00861995" w:rsidRDefault="005B4039" w:rsidP="00675D21">
            <w:pPr>
              <w:jc w:val="right"/>
            </w:pPr>
            <w:r>
              <w:t>C.S.H.B.</w:t>
            </w:r>
            <w:r w:rsidR="00D850E3">
              <w:t xml:space="preserve"> 3363</w:t>
            </w:r>
          </w:p>
        </w:tc>
      </w:tr>
      <w:tr w:rsidR="00FC65EF" w14:paraId="3F229FBF" w14:textId="77777777" w:rsidTr="00345119">
        <w:tc>
          <w:tcPr>
            <w:tcW w:w="9576" w:type="dxa"/>
          </w:tcPr>
          <w:p w14:paraId="2D5208A6" w14:textId="7A2597EE" w:rsidR="008423E4" w:rsidRPr="00861995" w:rsidRDefault="005B4039" w:rsidP="00675D21">
            <w:pPr>
              <w:jc w:val="right"/>
            </w:pPr>
            <w:r>
              <w:t xml:space="preserve">By: </w:t>
            </w:r>
            <w:r w:rsidR="00D850E3">
              <w:t>Frank</w:t>
            </w:r>
          </w:p>
        </w:tc>
      </w:tr>
      <w:tr w:rsidR="00FC65EF" w14:paraId="6388F06C" w14:textId="77777777" w:rsidTr="00345119">
        <w:tc>
          <w:tcPr>
            <w:tcW w:w="9576" w:type="dxa"/>
          </w:tcPr>
          <w:p w14:paraId="2E573B41" w14:textId="0A7AAEC5" w:rsidR="008423E4" w:rsidRPr="00861995" w:rsidRDefault="005B4039" w:rsidP="00675D21">
            <w:pPr>
              <w:jc w:val="right"/>
            </w:pPr>
            <w:r>
              <w:t>Corrections</w:t>
            </w:r>
          </w:p>
        </w:tc>
      </w:tr>
      <w:tr w:rsidR="00FC65EF" w14:paraId="15DCA61A" w14:textId="77777777" w:rsidTr="00345119">
        <w:tc>
          <w:tcPr>
            <w:tcW w:w="9576" w:type="dxa"/>
          </w:tcPr>
          <w:p w14:paraId="177C47D6" w14:textId="338583DD" w:rsidR="008423E4" w:rsidRDefault="005B4039" w:rsidP="00675D21">
            <w:pPr>
              <w:jc w:val="right"/>
            </w:pPr>
            <w:r>
              <w:t>Committee Report (Substituted)</w:t>
            </w:r>
          </w:p>
        </w:tc>
      </w:tr>
    </w:tbl>
    <w:p w14:paraId="4CDCE041" w14:textId="77777777" w:rsidR="008423E4" w:rsidRDefault="008423E4" w:rsidP="00675D21">
      <w:pPr>
        <w:tabs>
          <w:tab w:val="right" w:pos="9360"/>
        </w:tabs>
      </w:pPr>
    </w:p>
    <w:p w14:paraId="5093E8EA" w14:textId="77777777" w:rsidR="008423E4" w:rsidRDefault="008423E4" w:rsidP="00675D21"/>
    <w:p w14:paraId="555B47E7" w14:textId="77777777" w:rsidR="008423E4" w:rsidRDefault="008423E4" w:rsidP="00675D2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C65EF" w14:paraId="7CDED49B" w14:textId="77777777" w:rsidTr="006C2444">
        <w:tc>
          <w:tcPr>
            <w:tcW w:w="9360" w:type="dxa"/>
          </w:tcPr>
          <w:p w14:paraId="29E23C2A" w14:textId="77777777" w:rsidR="008423E4" w:rsidRPr="00A8133F" w:rsidRDefault="005B4039" w:rsidP="00675D2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72AE987" w14:textId="77777777" w:rsidR="008423E4" w:rsidRDefault="008423E4" w:rsidP="00675D21"/>
          <w:p w14:paraId="5D921F5B" w14:textId="77777777" w:rsidR="00675D21" w:rsidRDefault="005B4039" w:rsidP="00675D2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Over the last few years, and especially in the aftermath of COVID-19, state </w:t>
            </w:r>
            <w:r w:rsidR="00547AF7">
              <w:t xml:space="preserve">agencies have not timely taken custody of </w:t>
            </w:r>
            <w:r>
              <w:t>paper-ready inmates, blue warrant parolees, criminal defendants who are incompetent to stand trial, and youth</w:t>
            </w:r>
            <w:r w:rsidR="00D02A0F">
              <w:t xml:space="preserve"> held in county jails and facilities</w:t>
            </w:r>
            <w:r>
              <w:t xml:space="preserve">. </w:t>
            </w:r>
            <w:r w:rsidR="00D02A0F">
              <w:t xml:space="preserve">This is increasingly costly to local governments, which can affect the provision of other local services and ultimately </w:t>
            </w:r>
            <w:r w:rsidR="00D02A0F" w:rsidRPr="00D02A0F">
              <w:t>the</w:t>
            </w:r>
            <w:r w:rsidR="00D02A0F">
              <w:t xml:space="preserve"> taxpayer.</w:t>
            </w:r>
            <w:r>
              <w:t xml:space="preserve"> </w:t>
            </w:r>
            <w:r w:rsidR="00D02A0F">
              <w:t xml:space="preserve">C.S.H.B. 3363 </w:t>
            </w:r>
            <w:r>
              <w:t>seeks to relieve the burden on local taxpayers and ensure that state agencies issuing orders for th</w:t>
            </w:r>
            <w:r>
              <w:t>e detainment of individuals for transfer into state facilities do so within an appropriate time</w:t>
            </w:r>
            <w:r w:rsidR="00BF55DF">
              <w:t xml:space="preserve"> </w:t>
            </w:r>
            <w:r w:rsidR="00480E91">
              <w:t xml:space="preserve">frame </w:t>
            </w:r>
            <w:r>
              <w:t>or compensate local governments for the cost of confinement.</w:t>
            </w:r>
          </w:p>
          <w:p w14:paraId="676A878B" w14:textId="1410A4E2" w:rsidR="008423E4" w:rsidRPr="00E26B13" w:rsidRDefault="005B4039" w:rsidP="00675D2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 xml:space="preserve"> </w:t>
            </w:r>
          </w:p>
        </w:tc>
      </w:tr>
      <w:tr w:rsidR="00FC65EF" w14:paraId="4E1C73F9" w14:textId="77777777" w:rsidTr="006C2444">
        <w:tc>
          <w:tcPr>
            <w:tcW w:w="9360" w:type="dxa"/>
          </w:tcPr>
          <w:p w14:paraId="0B8F3AD8" w14:textId="77777777" w:rsidR="0017725B" w:rsidRDefault="005B4039" w:rsidP="00675D2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0D11FC0" w14:textId="77777777" w:rsidR="0017725B" w:rsidRDefault="0017725B" w:rsidP="00675D21">
            <w:pPr>
              <w:rPr>
                <w:b/>
                <w:u w:val="single"/>
              </w:rPr>
            </w:pPr>
          </w:p>
          <w:p w14:paraId="5FE9FD26" w14:textId="77777777" w:rsidR="0017725B" w:rsidRDefault="005B4039" w:rsidP="00675D21">
            <w:pPr>
              <w:jc w:val="both"/>
            </w:pPr>
            <w:r>
              <w:t>It is the committee's opinion that this bill does not expressly c</w:t>
            </w:r>
            <w:r>
              <w:t>reate a criminal offense, increase the punishment for an existing criminal offense or category of offenses, or change the eligibility of a person for community supervision, parole, or mandatory supervision.</w:t>
            </w:r>
          </w:p>
          <w:p w14:paraId="5DBA4601" w14:textId="49C9DB2C" w:rsidR="00675D21" w:rsidRPr="0017725B" w:rsidRDefault="00675D21" w:rsidP="00675D21">
            <w:pPr>
              <w:jc w:val="both"/>
              <w:rPr>
                <w:b/>
                <w:u w:val="single"/>
              </w:rPr>
            </w:pPr>
          </w:p>
        </w:tc>
      </w:tr>
      <w:tr w:rsidR="00FC65EF" w14:paraId="70B64AF0" w14:textId="77777777" w:rsidTr="006C2444">
        <w:tc>
          <w:tcPr>
            <w:tcW w:w="9360" w:type="dxa"/>
          </w:tcPr>
          <w:p w14:paraId="3499E89B" w14:textId="77777777" w:rsidR="008423E4" w:rsidRPr="00A8133F" w:rsidRDefault="005B4039" w:rsidP="00675D2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F7D5149" w14:textId="77777777" w:rsidR="008423E4" w:rsidRDefault="008423E4" w:rsidP="00675D21"/>
          <w:p w14:paraId="081DB4E7" w14:textId="77777777" w:rsidR="008423E4" w:rsidRDefault="005B4039" w:rsidP="00675D2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</w:t>
            </w:r>
            <w:r>
              <w:t>committee's opinion that this bill does not expressly grant any additional rulemaking authority to a state officer, department, agency, or institution.</w:t>
            </w:r>
          </w:p>
          <w:p w14:paraId="14C1FA91" w14:textId="2EA196AA" w:rsidR="00675D21" w:rsidRPr="00E21FDC" w:rsidRDefault="00675D21" w:rsidP="00675D2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FC65EF" w14:paraId="4ED2401E" w14:textId="77777777" w:rsidTr="006C2444">
        <w:tc>
          <w:tcPr>
            <w:tcW w:w="9360" w:type="dxa"/>
          </w:tcPr>
          <w:p w14:paraId="09FE46E7" w14:textId="704E89F6" w:rsidR="008423E4" w:rsidRDefault="005B4039" w:rsidP="00675D21"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117CFEA" w14:textId="77777777" w:rsidR="006C2444" w:rsidRDefault="006C2444" w:rsidP="00675D2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9D2F611" w14:textId="7D70F299" w:rsidR="00F477C4" w:rsidRDefault="005B4039" w:rsidP="00675D2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3363 amends the </w:t>
            </w:r>
            <w:r w:rsidRPr="00F477C4">
              <w:t>Code of Criminal Procedure</w:t>
            </w:r>
            <w:r>
              <w:t xml:space="preserve"> to require the </w:t>
            </w:r>
            <w:r w:rsidRPr="00F477C4">
              <w:t xml:space="preserve">Health and Human </w:t>
            </w:r>
            <w:r w:rsidRPr="00F477C4">
              <w:t>Services Commission (HHSC)</w:t>
            </w:r>
            <w:r>
              <w:t xml:space="preserve"> to </w:t>
            </w:r>
            <w:r w:rsidRPr="00F477C4">
              <w:t>take custody of a defendant</w:t>
            </w:r>
            <w:r>
              <w:t xml:space="preserve"> </w:t>
            </w:r>
            <w:r w:rsidR="00050DA3">
              <w:t xml:space="preserve">who is </w:t>
            </w:r>
            <w:r w:rsidRPr="00F477C4">
              <w:t xml:space="preserve">not released on bail </w:t>
            </w:r>
            <w:r w:rsidR="00050DA3">
              <w:t xml:space="preserve">and </w:t>
            </w:r>
            <w:r w:rsidRPr="00F477C4">
              <w:t xml:space="preserve">subject to an initial </w:t>
            </w:r>
            <w:r w:rsidR="00050DA3">
              <w:t xml:space="preserve">competency </w:t>
            </w:r>
            <w:r w:rsidRPr="00F477C4">
              <w:t>restoration period awaiting transfer</w:t>
            </w:r>
            <w:r>
              <w:t xml:space="preserve"> </w:t>
            </w:r>
            <w:r w:rsidRPr="00F477C4">
              <w:t xml:space="preserve">to a facility operated by or under contract with the </w:t>
            </w:r>
            <w:r>
              <w:t>HHSC</w:t>
            </w:r>
            <w:r w:rsidRPr="00F477C4">
              <w:t xml:space="preserve"> not later than the 45th day following </w:t>
            </w:r>
            <w:r w:rsidRPr="00F477C4">
              <w:t xml:space="preserve">the date the order  </w:t>
            </w:r>
            <w:r w:rsidR="00F3669C">
              <w:t xml:space="preserve">committing the defendant to the facility is </w:t>
            </w:r>
            <w:r w:rsidRPr="00F477C4">
              <w:t>issued.</w:t>
            </w:r>
            <w:r>
              <w:t xml:space="preserve"> </w:t>
            </w:r>
            <w:r w:rsidR="00EC4BC7">
              <w:t>I</w:t>
            </w:r>
            <w:r w:rsidR="00F3669C">
              <w:t>f HHSC does not take custody of the defendant within that 45-day period,</w:t>
            </w:r>
            <w:r w:rsidR="00EC4BC7">
              <w:t xml:space="preserve"> HHSC is required</w:t>
            </w:r>
            <w:r>
              <w:t xml:space="preserve"> to </w:t>
            </w:r>
            <w:r w:rsidRPr="00F477C4">
              <w:t>compensate</w:t>
            </w:r>
            <w:r w:rsidR="0013237A">
              <w:t xml:space="preserve"> a </w:t>
            </w:r>
            <w:r w:rsidRPr="00F477C4">
              <w:t xml:space="preserve">county </w:t>
            </w:r>
            <w:r w:rsidR="0013237A" w:rsidRPr="00F477C4">
              <w:t>for each day that the defendant remains confined in the county jail following the expiration of that period</w:t>
            </w:r>
            <w:r w:rsidR="0013237A">
              <w:t xml:space="preserve"> in an amount </w:t>
            </w:r>
            <w:r w:rsidRPr="00F477C4">
              <w:t xml:space="preserve">equal </w:t>
            </w:r>
            <w:r w:rsidR="0013237A">
              <w:t xml:space="preserve">to the </w:t>
            </w:r>
            <w:r w:rsidR="00A84282">
              <w:t>amount that would have been i</w:t>
            </w:r>
            <w:r w:rsidR="0013237A">
              <w:t xml:space="preserve">ncurred </w:t>
            </w:r>
            <w:r w:rsidR="00A84282">
              <w:t xml:space="preserve">by HHSC </w:t>
            </w:r>
            <w:r w:rsidR="0013237A">
              <w:t>to confine</w:t>
            </w:r>
            <w:r w:rsidR="00A84282">
              <w:t xml:space="preserve"> the defendant for that period</w:t>
            </w:r>
            <w:r w:rsidR="0013237A">
              <w:t>.</w:t>
            </w:r>
          </w:p>
          <w:p w14:paraId="32C2D89A" w14:textId="77777777" w:rsidR="00D94885" w:rsidRDefault="00D94885" w:rsidP="00675D2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163A770" w14:textId="19EA53E6" w:rsidR="00F477C4" w:rsidRDefault="005B4039" w:rsidP="00675D2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3363 amends the Family Code to require </w:t>
            </w:r>
            <w:r w:rsidR="00476C7B" w:rsidRPr="00476C7B">
              <w:t>the</w:t>
            </w:r>
            <w:r w:rsidR="00476C7B">
              <w:t xml:space="preserve"> </w:t>
            </w:r>
            <w:r w:rsidR="00476C7B" w:rsidRPr="00476C7B">
              <w:t>Texas Juvenile Justice Department</w:t>
            </w:r>
            <w:r w:rsidR="00476C7B">
              <w:t xml:space="preserve"> (TJJD) to </w:t>
            </w:r>
            <w:r w:rsidR="00476C7B" w:rsidRPr="00476C7B">
              <w:t xml:space="preserve">accept custody of </w:t>
            </w:r>
            <w:r w:rsidR="00D553B5">
              <w:t>a</w:t>
            </w:r>
            <w:r w:rsidR="00D553B5" w:rsidRPr="00476C7B">
              <w:t xml:space="preserve"> </w:t>
            </w:r>
            <w:r w:rsidR="00476C7B" w:rsidRPr="00476C7B">
              <w:t xml:space="preserve">child </w:t>
            </w:r>
            <w:r w:rsidR="00D553B5">
              <w:t xml:space="preserve">sentenced to commitment in TJJD </w:t>
            </w:r>
            <w:r w:rsidR="00476C7B" w:rsidRPr="00476C7B">
              <w:t xml:space="preserve">not later than the 45th day after the date on which the judge signs the disposition order sentencing </w:t>
            </w:r>
            <w:r w:rsidR="00D553B5">
              <w:t>the</w:t>
            </w:r>
            <w:r w:rsidR="00D553B5" w:rsidRPr="00476C7B">
              <w:t xml:space="preserve"> </w:t>
            </w:r>
            <w:r w:rsidR="00476C7B" w:rsidRPr="00476C7B">
              <w:t>child to commitment</w:t>
            </w:r>
            <w:r w:rsidR="00476C7B">
              <w:t>.</w:t>
            </w:r>
            <w:r w:rsidR="00A22484">
              <w:t xml:space="preserve"> </w:t>
            </w:r>
            <w:r w:rsidR="00EC4BC7">
              <w:t>I</w:t>
            </w:r>
            <w:r w:rsidR="00F3669C">
              <w:t>f TJJD</w:t>
            </w:r>
            <w:r w:rsidR="00157691" w:rsidRPr="00157691">
              <w:t xml:space="preserve"> </w:t>
            </w:r>
            <w:r w:rsidR="00F3669C">
              <w:t xml:space="preserve">does not take custody of the child within that 45-day period, </w:t>
            </w:r>
            <w:r w:rsidR="00EC4BC7">
              <w:t xml:space="preserve">TJJD is required </w:t>
            </w:r>
            <w:r w:rsidR="00157691" w:rsidRPr="00157691">
              <w:t>to compensate the county for</w:t>
            </w:r>
            <w:r w:rsidR="00D553B5">
              <w:t xml:space="preserve"> the cost of detention for</w:t>
            </w:r>
            <w:r w:rsidR="00157691" w:rsidRPr="00157691">
              <w:t xml:space="preserve"> each day that the </w:t>
            </w:r>
            <w:r w:rsidR="00157691">
              <w:t>child</w:t>
            </w:r>
            <w:r w:rsidR="00157691" w:rsidRPr="00157691">
              <w:t xml:space="preserve"> remains </w:t>
            </w:r>
            <w:r w:rsidR="00D553B5">
              <w:t xml:space="preserve">detained </w:t>
            </w:r>
            <w:r w:rsidR="00157691" w:rsidRPr="00157691">
              <w:t xml:space="preserve">in </w:t>
            </w:r>
            <w:r w:rsidR="00F3669C">
              <w:t xml:space="preserve">a </w:t>
            </w:r>
            <w:r w:rsidR="00157691">
              <w:t>facility</w:t>
            </w:r>
            <w:r w:rsidR="00157691" w:rsidRPr="00157691">
              <w:t xml:space="preserve"> </w:t>
            </w:r>
            <w:r w:rsidR="00F3669C">
              <w:t xml:space="preserve">operated by or under contract with the county </w:t>
            </w:r>
            <w:r w:rsidR="00157691" w:rsidRPr="00157691">
              <w:t xml:space="preserve">following the expiration of that period </w:t>
            </w:r>
            <w:r w:rsidR="00D94885">
              <w:t xml:space="preserve">in an amount </w:t>
            </w:r>
            <w:r w:rsidR="00D94885" w:rsidRPr="00F477C4">
              <w:t xml:space="preserve">equal </w:t>
            </w:r>
            <w:r w:rsidR="00D94885">
              <w:t>to the</w:t>
            </w:r>
            <w:r w:rsidR="00D553B5">
              <w:t xml:space="preserve"> amount that would have been incurred by TJJD to detain</w:t>
            </w:r>
            <w:r w:rsidR="00D94885">
              <w:t xml:space="preserve"> </w:t>
            </w:r>
            <w:r w:rsidR="00D553B5">
              <w:t>the child for that period</w:t>
            </w:r>
            <w:r w:rsidR="00D94885">
              <w:t>.</w:t>
            </w:r>
          </w:p>
          <w:p w14:paraId="6BABC4E1" w14:textId="37ACD3E4" w:rsidR="00157691" w:rsidRDefault="00157691" w:rsidP="00675D2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C4997E2" w14:textId="5869755A" w:rsidR="00157691" w:rsidRDefault="005B4039" w:rsidP="00675D2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</w:t>
            </w:r>
            <w:r w:rsidR="003B7C6E">
              <w:t xml:space="preserve"> 3363 amends the Government Code to </w:t>
            </w:r>
            <w:r w:rsidR="00F3669C">
              <w:t>change the scheduled admissions policy that the Texas Board of Criminal Justice (TBCJ) must adopt and enforce from a policy that permits the institutional division of the Texas Department of Criminal Justice (</w:t>
            </w:r>
            <w:r w:rsidR="00F3669C" w:rsidRPr="00DD6629">
              <w:t>TDCJ</w:t>
            </w:r>
            <w:r w:rsidR="00F3669C">
              <w:t>)</w:t>
            </w:r>
            <w:r w:rsidR="00F3669C" w:rsidRPr="00DD6629">
              <w:t xml:space="preserve"> </w:t>
            </w:r>
            <w:r w:rsidR="00F3669C">
              <w:t xml:space="preserve">to accept inmates within 45 days of processing to a policy that requires TDCJ to accept persons within 45 days of  </w:t>
            </w:r>
            <w:r w:rsidR="00D77525">
              <w:t xml:space="preserve">processing </w:t>
            </w:r>
            <w:r w:rsidR="00EB3933">
              <w:t xml:space="preserve">as </w:t>
            </w:r>
            <w:r w:rsidR="00D77525">
              <w:t xml:space="preserve">required </w:t>
            </w:r>
            <w:r w:rsidR="00EB3933">
              <w:t>by</w:t>
            </w:r>
            <w:r w:rsidR="002627A1">
              <w:t xml:space="preserve"> the bill's provisions</w:t>
            </w:r>
            <w:r w:rsidR="00F3669C">
              <w:t>.</w:t>
            </w:r>
            <w:r w:rsidR="003B7C6E">
              <w:t xml:space="preserve"> The bill requires </w:t>
            </w:r>
            <w:r w:rsidR="00E96804">
              <w:t xml:space="preserve">TBCJ </w:t>
            </w:r>
            <w:r w:rsidR="003B7C6E">
              <w:t xml:space="preserve">to </w:t>
            </w:r>
            <w:r w:rsidR="003B7C6E" w:rsidRPr="003B7C6E">
              <w:t xml:space="preserve">adopt </w:t>
            </w:r>
            <w:r w:rsidR="003B7C6E">
              <w:t>such</w:t>
            </w:r>
            <w:r w:rsidR="003B7C6E" w:rsidRPr="003B7C6E">
              <w:t xml:space="preserve"> scheduled admissions policy</w:t>
            </w:r>
            <w:r w:rsidR="003B7C6E">
              <w:t xml:space="preserve"> n</w:t>
            </w:r>
            <w:r w:rsidR="003B7C6E" w:rsidRPr="003B7C6E">
              <w:t>ot later than December 31, 2023</w:t>
            </w:r>
            <w:r w:rsidR="003B7C6E">
              <w:t>.</w:t>
            </w:r>
          </w:p>
          <w:p w14:paraId="597EF385" w14:textId="77777777" w:rsidR="006C2444" w:rsidRDefault="006C2444" w:rsidP="00675D21">
            <w:pPr>
              <w:pStyle w:val="Header"/>
              <w:jc w:val="both"/>
            </w:pPr>
          </w:p>
          <w:p w14:paraId="5D3F54FB" w14:textId="29C72FBB" w:rsidR="00EC4BC7" w:rsidRDefault="005B4039" w:rsidP="00675D21">
            <w:pPr>
              <w:pStyle w:val="Header"/>
              <w:jc w:val="both"/>
            </w:pPr>
            <w:r>
              <w:t>C.S.H.B.</w:t>
            </w:r>
            <w:r w:rsidR="003B7C6E">
              <w:t xml:space="preserve"> 3363 requires TDCJ to </w:t>
            </w:r>
            <w:r w:rsidR="003B7C6E" w:rsidRPr="003B7C6E">
              <w:t xml:space="preserve">take custody of a person awaiting transfer to </w:t>
            </w:r>
            <w:r w:rsidR="003B7C6E">
              <w:t xml:space="preserve">TDCJ </w:t>
            </w:r>
            <w:r w:rsidR="003B7C6E" w:rsidRPr="003B7C6E">
              <w:t>following conviction of a felony not later than the 45th day following the date on which all processing required for transfer has been completed.</w:t>
            </w:r>
            <w:r w:rsidR="003B7C6E">
              <w:t xml:space="preserve"> </w:t>
            </w:r>
            <w:r>
              <w:t>I</w:t>
            </w:r>
            <w:r w:rsidR="00E96804">
              <w:t>f TDCJ does not take custody of a person within that 45-day period,</w:t>
            </w:r>
            <w:r>
              <w:t xml:space="preserve"> TDCJ is required</w:t>
            </w:r>
            <w:r w:rsidR="003B7C6E" w:rsidRPr="003B7C6E">
              <w:t xml:space="preserve"> to compensate the county</w:t>
            </w:r>
            <w:r w:rsidR="00B33351">
              <w:t xml:space="preserve"> for</w:t>
            </w:r>
            <w:r w:rsidR="003B7C6E" w:rsidRPr="003B7C6E">
              <w:t xml:space="preserve"> the cost of confinement for each day that the </w:t>
            </w:r>
            <w:r w:rsidR="00F76BA3">
              <w:t>person</w:t>
            </w:r>
            <w:r w:rsidR="003B7C6E" w:rsidRPr="003B7C6E">
              <w:t xml:space="preserve"> remains confined in the </w:t>
            </w:r>
            <w:r w:rsidR="00F76BA3">
              <w:t>county jail</w:t>
            </w:r>
            <w:r w:rsidR="003B7C6E" w:rsidRPr="003B7C6E">
              <w:t xml:space="preserve"> following the expiration of that period </w:t>
            </w:r>
            <w:r w:rsidR="00D94885">
              <w:t xml:space="preserve">in an amount </w:t>
            </w:r>
            <w:r w:rsidR="00D94885" w:rsidRPr="00F477C4">
              <w:t xml:space="preserve">equal </w:t>
            </w:r>
            <w:r w:rsidR="00D94885">
              <w:t xml:space="preserve">to the </w:t>
            </w:r>
            <w:r w:rsidR="00B33351">
              <w:t xml:space="preserve">amount that would have been </w:t>
            </w:r>
            <w:r w:rsidR="00D94885">
              <w:t xml:space="preserve">incurred </w:t>
            </w:r>
            <w:r w:rsidR="00B33351">
              <w:t xml:space="preserve">by TDCJ </w:t>
            </w:r>
            <w:r w:rsidR="00D94885">
              <w:t>to confine</w:t>
            </w:r>
            <w:r w:rsidR="00B33351">
              <w:t xml:space="preserve"> the person for that period</w:t>
            </w:r>
            <w:r w:rsidR="00D94885">
              <w:t>.</w:t>
            </w:r>
            <w:r>
              <w:t xml:space="preserve"> The bill establishes the following with respect to a person who remains confined in the county jail following the expiration of the 45-day period due to a delay caused by the county:</w:t>
            </w:r>
          </w:p>
          <w:p w14:paraId="61AC14A5" w14:textId="1966A7BE" w:rsidR="00EC4BC7" w:rsidRDefault="005B4039" w:rsidP="00675D21">
            <w:pPr>
              <w:pStyle w:val="Header"/>
              <w:numPr>
                <w:ilvl w:val="0"/>
                <w:numId w:val="3"/>
              </w:numPr>
              <w:jc w:val="both"/>
            </w:pPr>
            <w:r>
              <w:t>the county is not entitled to compensation under the bill for the cost o</w:t>
            </w:r>
            <w:r>
              <w:t>f confinement for any day that the person remains confined due to the delay caused by the county; and</w:t>
            </w:r>
          </w:p>
          <w:p w14:paraId="42F9FB6C" w14:textId="0C5130DC" w:rsidR="00D94885" w:rsidRDefault="005B4039" w:rsidP="00675D21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the county and TDCJ are required to arrange to transfer the person to TDCJ as soon as practicable after the delay.</w:t>
            </w:r>
          </w:p>
          <w:p w14:paraId="58170247" w14:textId="6B39C8EA" w:rsidR="003B7C6E" w:rsidRDefault="003B7C6E" w:rsidP="00675D2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2DD98FE" w14:textId="7CE626DC" w:rsidR="00050DA3" w:rsidRDefault="005B4039" w:rsidP="00675D21">
            <w:pPr>
              <w:pStyle w:val="Header"/>
              <w:jc w:val="both"/>
            </w:pPr>
            <w:r>
              <w:t>C.S.H.B. 3363 requires TDCJ to take cu</w:t>
            </w:r>
            <w:r>
              <w:t>stody of a</w:t>
            </w:r>
            <w:r w:rsidR="00B33351">
              <w:t xml:space="preserve"> releasee or</w:t>
            </w:r>
            <w:r>
              <w:t xml:space="preserve"> person who is confined only on a charge that the</w:t>
            </w:r>
            <w:r w:rsidR="004D2760">
              <w:t xml:space="preserve"> releasee or</w:t>
            </w:r>
            <w:r>
              <w:t xml:space="preserve"> person has committed an administrative violation of </w:t>
            </w:r>
            <w:r w:rsidR="00883857">
              <w:t xml:space="preserve">parole, mandatory supervision, or conditional pardon </w:t>
            </w:r>
            <w:r>
              <w:t xml:space="preserve">not later than the 45th day after the date on which all processing </w:t>
            </w:r>
            <w:r>
              <w:t xml:space="preserve">required for transfer has been completed. </w:t>
            </w:r>
            <w:r w:rsidR="00EC4BC7">
              <w:t>I</w:t>
            </w:r>
            <w:r>
              <w:t xml:space="preserve">f TDCJ does not take custody of the person </w:t>
            </w:r>
            <w:r w:rsidR="00E96804">
              <w:t>within that 45-day period</w:t>
            </w:r>
            <w:r>
              <w:t xml:space="preserve">, </w:t>
            </w:r>
            <w:r w:rsidR="00EC4BC7">
              <w:t xml:space="preserve">TDCJ is required </w:t>
            </w:r>
            <w:r>
              <w:t>to compensate the county for the cost of confinement for each day that the person remains confined in the county jail followin</w:t>
            </w:r>
            <w:r>
              <w:t>g the expiration of that period</w:t>
            </w:r>
            <w:r w:rsidR="00E96804">
              <w:t xml:space="preserve"> in an</w:t>
            </w:r>
            <w:r>
              <w:t xml:space="preserve"> amount </w:t>
            </w:r>
            <w:r w:rsidR="00E96804">
              <w:t xml:space="preserve">equal to the </w:t>
            </w:r>
            <w:r w:rsidR="004D2760">
              <w:t>amount</w:t>
            </w:r>
            <w:r w:rsidR="00E96804">
              <w:t xml:space="preserve"> </w:t>
            </w:r>
            <w:r>
              <w:t xml:space="preserve">that would have been incurred by </w:t>
            </w:r>
            <w:r w:rsidR="00A22484">
              <w:t>TDCJ</w:t>
            </w:r>
            <w:r>
              <w:t xml:space="preserve"> to confine the person for that period. </w:t>
            </w:r>
          </w:p>
          <w:p w14:paraId="2AC46E17" w14:textId="77777777" w:rsidR="00050DA3" w:rsidRDefault="00050DA3" w:rsidP="00675D2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7AEF186" w14:textId="365AB9F1" w:rsidR="00F76BA3" w:rsidRDefault="005B4039" w:rsidP="00675D2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3363 provisions </w:t>
            </w:r>
            <w:r w:rsidR="009C1581">
              <w:t xml:space="preserve">regarding HHSC, TJJD, and TDCJ compensation to counties </w:t>
            </w:r>
            <w:r>
              <w:t xml:space="preserve">apply only to </w:t>
            </w:r>
            <w:r w:rsidRPr="00F76BA3">
              <w:t xml:space="preserve">compensation for </w:t>
            </w:r>
            <w:r w:rsidRPr="00F76BA3">
              <w:t>the cost of confinement</w:t>
            </w:r>
            <w:r w:rsidR="009C1581">
              <w:t xml:space="preserve"> or</w:t>
            </w:r>
            <w:r>
              <w:t xml:space="preserve"> </w:t>
            </w:r>
            <w:r w:rsidRPr="00F76BA3">
              <w:t>detention</w:t>
            </w:r>
            <w:r>
              <w:t xml:space="preserve"> </w:t>
            </w:r>
            <w:r w:rsidRPr="00F76BA3">
              <w:t>that occurs on or after January 1, 2024</w:t>
            </w:r>
            <w:r w:rsidR="009C1581">
              <w:t>, regardless of whether the order of commitment</w:t>
            </w:r>
            <w:r w:rsidR="003C06BE">
              <w:t xml:space="preserve"> or</w:t>
            </w:r>
            <w:r w:rsidR="009C1581">
              <w:t xml:space="preserve"> the disposition order</w:t>
            </w:r>
            <w:r w:rsidR="003C06BE">
              <w:t xml:space="preserve"> is issued</w:t>
            </w:r>
            <w:r w:rsidR="009C1581">
              <w:t xml:space="preserve"> or all processing required for transfer is completed, as applicable, before, on, or after </w:t>
            </w:r>
            <w:r w:rsidR="003C06BE">
              <w:t>January 1, 2024</w:t>
            </w:r>
            <w:r>
              <w:t>.</w:t>
            </w:r>
          </w:p>
          <w:p w14:paraId="68AABAA3" w14:textId="77777777" w:rsidR="003B7C6E" w:rsidRDefault="003B7C6E" w:rsidP="00675D2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994BE6E" w14:textId="77777777" w:rsidR="008423E4" w:rsidRDefault="005B4039" w:rsidP="00675D2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</w:t>
            </w:r>
            <w:r w:rsidR="003B7C6E">
              <w:t xml:space="preserve"> 3363 repeals </w:t>
            </w:r>
            <w:r w:rsidR="003B7C6E" w:rsidRPr="003B7C6E">
              <w:t>Section 499.121(c), Government Code</w:t>
            </w:r>
            <w:r w:rsidR="003B7C6E">
              <w:t>.</w:t>
            </w:r>
          </w:p>
          <w:p w14:paraId="50545874" w14:textId="08BB03FD" w:rsidR="00675D21" w:rsidRPr="00835628" w:rsidRDefault="00675D21" w:rsidP="00675D2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FC65EF" w14:paraId="02B9291D" w14:textId="77777777" w:rsidTr="006C2444">
        <w:tc>
          <w:tcPr>
            <w:tcW w:w="9360" w:type="dxa"/>
          </w:tcPr>
          <w:p w14:paraId="72F2A0E7" w14:textId="77777777" w:rsidR="008423E4" w:rsidRPr="00A8133F" w:rsidRDefault="005B4039" w:rsidP="00675D2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113AE3C" w14:textId="77777777" w:rsidR="008423E4" w:rsidRDefault="008423E4" w:rsidP="00675D21"/>
          <w:p w14:paraId="3C64F941" w14:textId="77777777" w:rsidR="008423E4" w:rsidRDefault="005B4039" w:rsidP="00675D2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4385E544" w14:textId="69F6CEB6" w:rsidR="00675D21" w:rsidRPr="00233FDB" w:rsidRDefault="00675D21" w:rsidP="00675D2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C65EF" w14:paraId="7D8778F3" w14:textId="77777777" w:rsidTr="005D471C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740B75D2" w14:textId="77777777" w:rsidR="005D471C" w:rsidRDefault="005B4039" w:rsidP="00675D21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6A358C2A" w14:textId="77777777" w:rsidR="006C2444" w:rsidRPr="006C2444" w:rsidRDefault="006C2444" w:rsidP="00675D21">
            <w:pPr>
              <w:jc w:val="both"/>
            </w:pPr>
          </w:p>
          <w:p w14:paraId="228EE627" w14:textId="46474EDC" w:rsidR="005D471C" w:rsidRDefault="005B4039" w:rsidP="00675D21">
            <w:pPr>
              <w:jc w:val="both"/>
            </w:pPr>
            <w:r>
              <w:t xml:space="preserve">While </w:t>
            </w:r>
            <w:r w:rsidR="006C2444">
              <w:t>C.S.H.B.</w:t>
            </w:r>
            <w:r>
              <w:t xml:space="preserve"> 3363</w:t>
            </w:r>
            <w:r w:rsidRPr="00BB124A">
              <w:t xml:space="preserve"> </w:t>
            </w:r>
            <w:r>
              <w:t xml:space="preserve">may differ from </w:t>
            </w:r>
            <w:r>
              <w:t>the introduced in minor or nonsubstantive ways, the following summarizes the substantial differences between the introduced and committee substitute versions of the bill.</w:t>
            </w:r>
          </w:p>
          <w:p w14:paraId="727DE974" w14:textId="77777777" w:rsidR="00874146" w:rsidRDefault="00874146" w:rsidP="00675D21"/>
          <w:p w14:paraId="64C74CD4" w14:textId="77777777" w:rsidR="00874146" w:rsidRDefault="005B4039" w:rsidP="00675D21">
            <w:pPr>
              <w:jc w:val="both"/>
            </w:pPr>
            <w:r>
              <w:t>The substitute includes the following provisions absent from the introduced with res</w:t>
            </w:r>
            <w:r>
              <w:t>pect to a person who remains confined in the county jail following the expiration of the 45-day period due to a delay caused by the county:</w:t>
            </w:r>
          </w:p>
          <w:p w14:paraId="4CDB4E7C" w14:textId="680C8A96" w:rsidR="00874146" w:rsidRDefault="005B4039" w:rsidP="00675D21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 xml:space="preserve">a provision establishing that the county is not entitled to compensation </w:t>
            </w:r>
            <w:r w:rsidRPr="003353AC">
              <w:t xml:space="preserve">for the cost of confinement </w:t>
            </w:r>
            <w:r>
              <w:t>for any day tha</w:t>
            </w:r>
            <w:r>
              <w:t>t the person remains confined due to the delay caused by the county; and</w:t>
            </w:r>
          </w:p>
          <w:p w14:paraId="442D86F7" w14:textId="329416E8" w:rsidR="00874146" w:rsidRDefault="005B4039" w:rsidP="00675D21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>a requirement for the county and TDCJ to arrange to transfer the person to TDCJ as soon as practicable after the delay.</w:t>
            </w:r>
          </w:p>
          <w:p w14:paraId="763F9885" w14:textId="6E95B202" w:rsidR="00335413" w:rsidRDefault="00335413" w:rsidP="00675D21">
            <w:pPr>
              <w:jc w:val="both"/>
            </w:pPr>
          </w:p>
          <w:p w14:paraId="0EDCFEFE" w14:textId="0D703D58" w:rsidR="00335413" w:rsidRDefault="005B4039" w:rsidP="00675D21">
            <w:pPr>
              <w:jc w:val="both"/>
            </w:pPr>
            <w:r>
              <w:t xml:space="preserve">The substitute includes the following provisions absent from the introduced: </w:t>
            </w:r>
          </w:p>
          <w:p w14:paraId="2416F29A" w14:textId="224405CE" w:rsidR="00335413" w:rsidRDefault="005B4039" w:rsidP="00675D21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a requirement for TDCJ to take custody of a</w:t>
            </w:r>
            <w:r w:rsidR="00EB3933">
              <w:t xml:space="preserve"> releasee or</w:t>
            </w:r>
            <w:r>
              <w:t xml:space="preserve"> </w:t>
            </w:r>
            <w:r w:rsidRPr="00335413">
              <w:t xml:space="preserve">person </w:t>
            </w:r>
            <w:r>
              <w:t>w</w:t>
            </w:r>
            <w:r w:rsidRPr="00335413">
              <w:t xml:space="preserve">ho is confined only on a charge </w:t>
            </w:r>
            <w:r w:rsidR="00883857">
              <w:t xml:space="preserve">of committing an </w:t>
            </w:r>
            <w:r w:rsidRPr="00335413">
              <w:t xml:space="preserve">administrative violation of </w:t>
            </w:r>
            <w:r w:rsidR="00883857">
              <w:t xml:space="preserve">parole, mandatory supervision, or conditional pardon </w:t>
            </w:r>
            <w:r w:rsidRPr="00335413">
              <w:t>not later than the 45th day after the date on which all processing required for transfer has been completed</w:t>
            </w:r>
            <w:r w:rsidR="00883857">
              <w:t>;</w:t>
            </w:r>
            <w:r>
              <w:t xml:space="preserve"> and </w:t>
            </w:r>
          </w:p>
          <w:p w14:paraId="121F6FD8" w14:textId="1A41D8D5" w:rsidR="00335413" w:rsidRDefault="005B4039" w:rsidP="00675D21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a requirement for TDCJ, i</w:t>
            </w:r>
            <w:r w:rsidRPr="00335413">
              <w:t xml:space="preserve">f </w:t>
            </w:r>
            <w:r>
              <w:t xml:space="preserve">TDCJ </w:t>
            </w:r>
            <w:r w:rsidRPr="00335413">
              <w:t xml:space="preserve">does not take custody of </w:t>
            </w:r>
            <w:r>
              <w:t xml:space="preserve">such </w:t>
            </w:r>
            <w:r w:rsidRPr="00335413">
              <w:t>a person</w:t>
            </w:r>
            <w:r w:rsidR="00883857">
              <w:t xml:space="preserve"> within that 45-day period</w:t>
            </w:r>
            <w:r>
              <w:t>, to</w:t>
            </w:r>
            <w:r w:rsidRPr="00335413">
              <w:t xml:space="preserve"> compensate the county for</w:t>
            </w:r>
            <w:r w:rsidRPr="00335413">
              <w:t xml:space="preserve"> the cost of confinement for each day that the person remains confined in the county jail following the expiration of that period</w:t>
            </w:r>
            <w:r w:rsidR="00883857">
              <w:t xml:space="preserve"> in an amount equal to the </w:t>
            </w:r>
            <w:r w:rsidR="00EB3933">
              <w:t xml:space="preserve">amount </w:t>
            </w:r>
            <w:r w:rsidR="00883857">
              <w:t>that would have been incurred by TDCJ to confine the person</w:t>
            </w:r>
            <w:r w:rsidR="00EB3933">
              <w:t xml:space="preserve"> for that period</w:t>
            </w:r>
            <w:r w:rsidRPr="00335413">
              <w:t xml:space="preserve">. </w:t>
            </w:r>
          </w:p>
          <w:p w14:paraId="196098A2" w14:textId="0FBF8047" w:rsidR="00874146" w:rsidRDefault="00874146" w:rsidP="00675D21"/>
          <w:p w14:paraId="302B05BA" w14:textId="5F201DD7" w:rsidR="005D471C" w:rsidRDefault="005D471C" w:rsidP="00675D21"/>
        </w:tc>
      </w:tr>
    </w:tbl>
    <w:p w14:paraId="20140C5A" w14:textId="77777777" w:rsidR="004108C3" w:rsidRPr="008423E4" w:rsidRDefault="004108C3" w:rsidP="00675D21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586DF" w14:textId="77777777" w:rsidR="00000000" w:rsidRDefault="005B4039">
      <w:r>
        <w:separator/>
      </w:r>
    </w:p>
  </w:endnote>
  <w:endnote w:type="continuationSeparator" w:id="0">
    <w:p w14:paraId="335362FC" w14:textId="77777777" w:rsidR="00000000" w:rsidRDefault="005B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6E89D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C65EF" w14:paraId="20678154" w14:textId="77777777" w:rsidTr="009C1E9A">
      <w:trPr>
        <w:cantSplit/>
      </w:trPr>
      <w:tc>
        <w:tcPr>
          <w:tcW w:w="0" w:type="pct"/>
        </w:tcPr>
        <w:p w14:paraId="60DD6F2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9FF484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183817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D0B61C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8B26F5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C65EF" w14:paraId="4171BD41" w14:textId="77777777" w:rsidTr="009C1E9A">
      <w:trPr>
        <w:cantSplit/>
      </w:trPr>
      <w:tc>
        <w:tcPr>
          <w:tcW w:w="0" w:type="pct"/>
        </w:tcPr>
        <w:p w14:paraId="3DD949F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3F8138D" w14:textId="38959599" w:rsidR="00EC379B" w:rsidRPr="009C1E9A" w:rsidRDefault="005B403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24691-D</w:t>
          </w:r>
        </w:p>
      </w:tc>
      <w:tc>
        <w:tcPr>
          <w:tcW w:w="2453" w:type="pct"/>
        </w:tcPr>
        <w:p w14:paraId="6F12DB3E" w14:textId="246DC228" w:rsidR="00EC379B" w:rsidRDefault="005B403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2100D">
            <w:t>23.112.7</w:t>
          </w:r>
          <w:r>
            <w:fldChar w:fldCharType="end"/>
          </w:r>
        </w:p>
      </w:tc>
    </w:tr>
    <w:tr w:rsidR="00FC65EF" w14:paraId="54E8A51F" w14:textId="77777777" w:rsidTr="009C1E9A">
      <w:trPr>
        <w:cantSplit/>
      </w:trPr>
      <w:tc>
        <w:tcPr>
          <w:tcW w:w="0" w:type="pct"/>
        </w:tcPr>
        <w:p w14:paraId="4376377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93A8355" w14:textId="1F8F7A35" w:rsidR="00EC379B" w:rsidRPr="009C1E9A" w:rsidRDefault="005B4039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20154</w:t>
          </w:r>
        </w:p>
      </w:tc>
      <w:tc>
        <w:tcPr>
          <w:tcW w:w="2453" w:type="pct"/>
        </w:tcPr>
        <w:p w14:paraId="44CD291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DAD858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C65EF" w14:paraId="7F2E343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C13739E" w14:textId="77777777" w:rsidR="00EC379B" w:rsidRDefault="005B403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147810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A96558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767D5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E8B87" w14:textId="77777777" w:rsidR="00000000" w:rsidRDefault="005B4039">
      <w:r>
        <w:separator/>
      </w:r>
    </w:p>
  </w:footnote>
  <w:footnote w:type="continuationSeparator" w:id="0">
    <w:p w14:paraId="4D487B8C" w14:textId="77777777" w:rsidR="00000000" w:rsidRDefault="005B4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FD8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69023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C6DE2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35D3E"/>
    <w:multiLevelType w:val="hybridMultilevel"/>
    <w:tmpl w:val="CE46ED9A"/>
    <w:lvl w:ilvl="0" w:tplc="74A0AA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9806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5685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06CF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0BE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B2CD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AAC1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901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C63D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439A8"/>
    <w:multiLevelType w:val="hybridMultilevel"/>
    <w:tmpl w:val="518864CC"/>
    <w:lvl w:ilvl="0" w:tplc="44EEF3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C27A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2859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2651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EC7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7E1A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EFF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00CE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F2D9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B12D0"/>
    <w:multiLevelType w:val="hybridMultilevel"/>
    <w:tmpl w:val="CF62651C"/>
    <w:lvl w:ilvl="0" w:tplc="929C1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6ACA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E6EC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6A0F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05B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7EEE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DE23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5A54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A811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7C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0DA3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ED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237A"/>
    <w:rsid w:val="00137D90"/>
    <w:rsid w:val="00141FB6"/>
    <w:rsid w:val="00142F8E"/>
    <w:rsid w:val="00143C8B"/>
    <w:rsid w:val="00147530"/>
    <w:rsid w:val="0015331F"/>
    <w:rsid w:val="00156AB2"/>
    <w:rsid w:val="00157691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17F"/>
    <w:rsid w:val="001C1230"/>
    <w:rsid w:val="001C43E2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7A1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53AC"/>
    <w:rsid w:val="00335413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2B3F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B7C6E"/>
    <w:rsid w:val="003C0411"/>
    <w:rsid w:val="003C06BE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76C7B"/>
    <w:rsid w:val="00480080"/>
    <w:rsid w:val="00480E91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60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041C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47AF7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4039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71C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5DD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75D21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2444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146"/>
    <w:rsid w:val="00874C05"/>
    <w:rsid w:val="0087588B"/>
    <w:rsid w:val="0087680A"/>
    <w:rsid w:val="008806EB"/>
    <w:rsid w:val="00881CFD"/>
    <w:rsid w:val="008826F2"/>
    <w:rsid w:val="00883857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00D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239"/>
    <w:rsid w:val="009414F1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58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484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5E61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4282"/>
    <w:rsid w:val="00A932BB"/>
    <w:rsid w:val="00A93579"/>
    <w:rsid w:val="00A93934"/>
    <w:rsid w:val="00A950A1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3351"/>
    <w:rsid w:val="00B34F25"/>
    <w:rsid w:val="00B43672"/>
    <w:rsid w:val="00B473D8"/>
    <w:rsid w:val="00B5165A"/>
    <w:rsid w:val="00B524C1"/>
    <w:rsid w:val="00B52C8D"/>
    <w:rsid w:val="00B539B7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770"/>
    <w:rsid w:val="00B90999"/>
    <w:rsid w:val="00B91AD7"/>
    <w:rsid w:val="00B92D23"/>
    <w:rsid w:val="00B95BC8"/>
    <w:rsid w:val="00B96E87"/>
    <w:rsid w:val="00BA146A"/>
    <w:rsid w:val="00BA32EE"/>
    <w:rsid w:val="00BB124A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55DF"/>
    <w:rsid w:val="00C013F4"/>
    <w:rsid w:val="00C040AB"/>
    <w:rsid w:val="00C0499B"/>
    <w:rsid w:val="00C05406"/>
    <w:rsid w:val="00C05CF0"/>
    <w:rsid w:val="00C07438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50BF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2A0F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3B5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77525"/>
    <w:rsid w:val="00D811E8"/>
    <w:rsid w:val="00D81A44"/>
    <w:rsid w:val="00D83072"/>
    <w:rsid w:val="00D83ABC"/>
    <w:rsid w:val="00D84870"/>
    <w:rsid w:val="00D850E3"/>
    <w:rsid w:val="00D91B92"/>
    <w:rsid w:val="00D926B3"/>
    <w:rsid w:val="00D92F63"/>
    <w:rsid w:val="00D947B6"/>
    <w:rsid w:val="00D94885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6629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04"/>
    <w:rsid w:val="00E96852"/>
    <w:rsid w:val="00EA16AC"/>
    <w:rsid w:val="00EA385A"/>
    <w:rsid w:val="00EA3931"/>
    <w:rsid w:val="00EA658E"/>
    <w:rsid w:val="00EA7A88"/>
    <w:rsid w:val="00EB27F2"/>
    <w:rsid w:val="00EB3928"/>
    <w:rsid w:val="00EB3933"/>
    <w:rsid w:val="00EB5373"/>
    <w:rsid w:val="00EC02A2"/>
    <w:rsid w:val="00EC379B"/>
    <w:rsid w:val="00EC37DF"/>
    <w:rsid w:val="00EC3A99"/>
    <w:rsid w:val="00EC41B1"/>
    <w:rsid w:val="00EC4BC7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69C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477C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6BA3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232E"/>
    <w:rsid w:val="00FB73AE"/>
    <w:rsid w:val="00FC5388"/>
    <w:rsid w:val="00FC65EF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049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156A36C-CA97-4EAA-9EDD-A7BB786E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477C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477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477C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477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477C4"/>
    <w:rPr>
      <w:b/>
      <w:bCs/>
    </w:rPr>
  </w:style>
  <w:style w:type="character" w:styleId="Hyperlink">
    <w:name w:val="Hyperlink"/>
    <w:basedOn w:val="DefaultParagraphFont"/>
    <w:unhideWhenUsed/>
    <w:rsid w:val="0050041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041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0041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74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1161</Words>
  <Characters>5862</Characters>
  <Application>Microsoft Office Word</Application>
  <DocSecurity>4</DocSecurity>
  <Lines>121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HB03363 (Committee Report (Substituted))</vt:lpstr>
    </vt:vector>
  </TitlesOfParts>
  <Company>State of Texas</Company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24691</dc:subject>
  <dc:creator>State of Texas</dc:creator>
  <dc:description>HB 3363 by Frank-(H)Corrections (Substitute Document Number: 88R 20154)</dc:description>
  <cp:lastModifiedBy>Matthew Lee</cp:lastModifiedBy>
  <cp:revision>2</cp:revision>
  <cp:lastPrinted>2003-11-26T17:21:00Z</cp:lastPrinted>
  <dcterms:created xsi:type="dcterms:W3CDTF">2023-04-28T21:31:00Z</dcterms:created>
  <dcterms:modified xsi:type="dcterms:W3CDTF">2023-04-28T21:31:00Z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23.112.7</vt:lpwstr>
  </property>
</Properties>
</file>