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17DE2" w14:paraId="1D5DD984" w14:textId="77777777" w:rsidTr="00345119">
        <w:tc>
          <w:tcPr>
            <w:tcW w:w="9576" w:type="dxa"/>
            <w:noWrap/>
          </w:tcPr>
          <w:p w14:paraId="114BA0A0" w14:textId="77777777" w:rsidR="008423E4" w:rsidRPr="0022177D" w:rsidRDefault="00EC1473" w:rsidP="000F759C">
            <w:pPr>
              <w:pStyle w:val="Heading1"/>
              <w:contextualSpacing/>
            </w:pPr>
            <w:r w:rsidRPr="00631897">
              <w:t>BILL ANALYSIS</w:t>
            </w:r>
          </w:p>
        </w:tc>
      </w:tr>
    </w:tbl>
    <w:p w14:paraId="346E6A0E" w14:textId="77777777" w:rsidR="008423E4" w:rsidRPr="0022177D" w:rsidRDefault="008423E4" w:rsidP="000F759C">
      <w:pPr>
        <w:contextualSpacing/>
        <w:jc w:val="center"/>
      </w:pPr>
    </w:p>
    <w:p w14:paraId="0AE77168" w14:textId="77777777" w:rsidR="008423E4" w:rsidRPr="00B31F0E" w:rsidRDefault="008423E4" w:rsidP="000F759C">
      <w:pPr>
        <w:contextualSpacing/>
      </w:pPr>
    </w:p>
    <w:p w14:paraId="6BF65FD8" w14:textId="77777777" w:rsidR="008423E4" w:rsidRPr="00742794" w:rsidRDefault="008423E4" w:rsidP="000F759C">
      <w:pPr>
        <w:tabs>
          <w:tab w:val="right" w:pos="9360"/>
        </w:tabs>
        <w:contextualSpacing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17DE2" w14:paraId="405FF2D9" w14:textId="77777777" w:rsidTr="00345119">
        <w:tc>
          <w:tcPr>
            <w:tcW w:w="9576" w:type="dxa"/>
          </w:tcPr>
          <w:p w14:paraId="65C7E318" w14:textId="28BA043F" w:rsidR="008423E4" w:rsidRPr="00861995" w:rsidRDefault="00EC1473" w:rsidP="000F759C">
            <w:pPr>
              <w:contextualSpacing/>
              <w:jc w:val="right"/>
            </w:pPr>
            <w:r>
              <w:t>C.S.H.B. 3374</w:t>
            </w:r>
          </w:p>
        </w:tc>
      </w:tr>
      <w:tr w:rsidR="00717DE2" w14:paraId="275DCB98" w14:textId="77777777" w:rsidTr="00345119">
        <w:tc>
          <w:tcPr>
            <w:tcW w:w="9576" w:type="dxa"/>
          </w:tcPr>
          <w:p w14:paraId="3BF45496" w14:textId="4C130138" w:rsidR="008423E4" w:rsidRPr="00861995" w:rsidRDefault="00EC1473" w:rsidP="000F759C">
            <w:pPr>
              <w:contextualSpacing/>
              <w:jc w:val="right"/>
            </w:pPr>
            <w:r>
              <w:t xml:space="preserve">By: </w:t>
            </w:r>
            <w:r w:rsidR="00FA1BDE">
              <w:t>Button</w:t>
            </w:r>
          </w:p>
        </w:tc>
      </w:tr>
      <w:tr w:rsidR="00717DE2" w14:paraId="5CE2D733" w14:textId="77777777" w:rsidTr="00345119">
        <w:tc>
          <w:tcPr>
            <w:tcW w:w="9576" w:type="dxa"/>
          </w:tcPr>
          <w:p w14:paraId="54585C89" w14:textId="6E934DE5" w:rsidR="008423E4" w:rsidRPr="00861995" w:rsidRDefault="00EC1473" w:rsidP="000F759C">
            <w:pPr>
              <w:contextualSpacing/>
              <w:jc w:val="right"/>
            </w:pPr>
            <w:r>
              <w:t>International Relations &amp; Economic Development</w:t>
            </w:r>
          </w:p>
        </w:tc>
      </w:tr>
      <w:tr w:rsidR="00717DE2" w14:paraId="4C4D1A5D" w14:textId="77777777" w:rsidTr="00345119">
        <w:tc>
          <w:tcPr>
            <w:tcW w:w="9576" w:type="dxa"/>
          </w:tcPr>
          <w:p w14:paraId="05669ACB" w14:textId="5F4E0F38" w:rsidR="008423E4" w:rsidRDefault="00EC1473" w:rsidP="000F759C">
            <w:pPr>
              <w:contextualSpacing/>
              <w:jc w:val="right"/>
            </w:pPr>
            <w:r>
              <w:t>Committee Report (Substituted)</w:t>
            </w:r>
          </w:p>
        </w:tc>
      </w:tr>
    </w:tbl>
    <w:p w14:paraId="44F9399A" w14:textId="77777777" w:rsidR="008423E4" w:rsidRDefault="008423E4" w:rsidP="000F759C">
      <w:pPr>
        <w:tabs>
          <w:tab w:val="right" w:pos="9360"/>
        </w:tabs>
        <w:contextualSpacing/>
      </w:pPr>
    </w:p>
    <w:p w14:paraId="28239E4A" w14:textId="77777777" w:rsidR="008423E4" w:rsidRDefault="008423E4" w:rsidP="000F759C">
      <w:pPr>
        <w:contextualSpacing/>
      </w:pPr>
    </w:p>
    <w:p w14:paraId="797C5273" w14:textId="77777777" w:rsidR="008423E4" w:rsidRDefault="008423E4" w:rsidP="000F759C">
      <w:pPr>
        <w:contextualSpacing/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17DE2" w14:paraId="746D84CF" w14:textId="77777777" w:rsidTr="00345119">
        <w:tc>
          <w:tcPr>
            <w:tcW w:w="9576" w:type="dxa"/>
          </w:tcPr>
          <w:p w14:paraId="3173F040" w14:textId="77777777" w:rsidR="008423E4" w:rsidRPr="00A8133F" w:rsidRDefault="00EC1473" w:rsidP="000F759C">
            <w:pPr>
              <w:contextualSpacing/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7D4A56F" w14:textId="77777777" w:rsidR="008423E4" w:rsidRDefault="008423E4" w:rsidP="000F759C">
            <w:pPr>
              <w:contextualSpacing/>
            </w:pPr>
          </w:p>
          <w:p w14:paraId="43DB7987" w14:textId="37144992" w:rsidR="008423E4" w:rsidRDefault="00EC1473" w:rsidP="000F759C">
            <w:pPr>
              <w:pStyle w:val="Header"/>
              <w:tabs>
                <w:tab w:val="clear" w:pos="4320"/>
                <w:tab w:val="clear" w:pos="8640"/>
              </w:tabs>
              <w:contextualSpacing/>
              <w:jc w:val="both"/>
            </w:pPr>
            <w:r w:rsidRPr="006D6DB2">
              <w:t xml:space="preserve">The </w:t>
            </w:r>
            <w:r w:rsidR="00C52344">
              <w:t>Texas E</w:t>
            </w:r>
            <w:r w:rsidRPr="006D6DB2">
              <w:t xml:space="preserve">nterprise </w:t>
            </w:r>
            <w:r w:rsidR="00C52344">
              <w:t>Z</w:t>
            </w:r>
            <w:r w:rsidRPr="006D6DB2">
              <w:t xml:space="preserve">one </w:t>
            </w:r>
            <w:r w:rsidR="00C52344">
              <w:t>P</w:t>
            </w:r>
            <w:r w:rsidRPr="006D6DB2">
              <w:t>rogram has several standards of eligibility</w:t>
            </w:r>
            <w:r w:rsidR="00A976AB">
              <w:t>,</w:t>
            </w:r>
            <w:r w:rsidRPr="006D6DB2">
              <w:t xml:space="preserve"> including a requirement that a qualifying employee has to perform at least 50</w:t>
            </w:r>
            <w:r>
              <w:t xml:space="preserve"> percent</w:t>
            </w:r>
            <w:r w:rsidRPr="006D6DB2">
              <w:t xml:space="preserve"> of their work at the business site. As a result of the COVID-19 pandemic, employers had to adapt their operations to allow employees to work from home.</w:t>
            </w:r>
            <w:r>
              <w:t xml:space="preserve"> So</w:t>
            </w:r>
            <w:r w:rsidRPr="006D6DB2">
              <w:t>me businesses t</w:t>
            </w:r>
            <w:r w:rsidRPr="006D6DB2">
              <w:t xml:space="preserve">hat were designated as </w:t>
            </w:r>
            <w:r w:rsidR="00A976AB">
              <w:t>e</w:t>
            </w:r>
            <w:r w:rsidRPr="006D6DB2">
              <w:t xml:space="preserve">nterprise </w:t>
            </w:r>
            <w:r w:rsidR="00A976AB">
              <w:t>z</w:t>
            </w:r>
            <w:r w:rsidRPr="006D6DB2">
              <w:t>one projects prior to the COVID-19 pandemic were not able to meet the requirement to have qualifying employees perform 50</w:t>
            </w:r>
            <w:r>
              <w:t xml:space="preserve"> percent</w:t>
            </w:r>
            <w:r w:rsidRPr="006D6DB2">
              <w:t xml:space="preserve"> of their work at the business site in order to be counted during the height of the pandemic</w:t>
            </w:r>
            <w:r w:rsidRPr="006D6DB2">
              <w:t>.</w:t>
            </w:r>
            <w:r>
              <w:t xml:space="preserve"> C.S.</w:t>
            </w:r>
            <w:r w:rsidRPr="006D6DB2">
              <w:t>H</w:t>
            </w:r>
            <w:r>
              <w:t>.</w:t>
            </w:r>
            <w:r w:rsidRPr="006D6DB2">
              <w:t>B</w:t>
            </w:r>
            <w:r>
              <w:t>.</w:t>
            </w:r>
            <w:r w:rsidR="00D37BAF">
              <w:t> </w:t>
            </w:r>
            <w:r w:rsidRPr="006D6DB2">
              <w:t xml:space="preserve">3374 </w:t>
            </w:r>
            <w:r>
              <w:t xml:space="preserve">seeks to </w:t>
            </w:r>
            <w:r w:rsidRPr="006D6DB2">
              <w:t xml:space="preserve">provide a temporary </w:t>
            </w:r>
            <w:r w:rsidR="00C52344">
              <w:t>waiver of that</w:t>
            </w:r>
            <w:r w:rsidRPr="006D6DB2">
              <w:t xml:space="preserve"> requirement for a</w:t>
            </w:r>
            <w:r w:rsidR="00C52344">
              <w:t>n enterprise</w:t>
            </w:r>
            <w:r w:rsidRPr="006D6DB2">
              <w:t xml:space="preserve"> project with a designation period that includes all or a portion of </w:t>
            </w:r>
            <w:r w:rsidR="00C52344">
              <w:t xml:space="preserve">a specified </w:t>
            </w:r>
            <w:r w:rsidRPr="006D6DB2">
              <w:t>COVID relief period.</w:t>
            </w:r>
          </w:p>
          <w:p w14:paraId="55D20097" w14:textId="77777777" w:rsidR="008423E4" w:rsidRPr="00E26B13" w:rsidRDefault="008423E4" w:rsidP="000F759C">
            <w:pPr>
              <w:contextualSpacing/>
              <w:rPr>
                <w:b/>
              </w:rPr>
            </w:pPr>
          </w:p>
        </w:tc>
      </w:tr>
      <w:tr w:rsidR="00717DE2" w14:paraId="5506DC5D" w14:textId="77777777" w:rsidTr="00345119">
        <w:tc>
          <w:tcPr>
            <w:tcW w:w="9576" w:type="dxa"/>
          </w:tcPr>
          <w:p w14:paraId="288CDEE1" w14:textId="77777777" w:rsidR="0017725B" w:rsidRDefault="00EC1473" w:rsidP="000F759C">
            <w:pPr>
              <w:contextualSpacing/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F4F23F2" w14:textId="77777777" w:rsidR="0017725B" w:rsidRDefault="0017725B" w:rsidP="000F759C">
            <w:pPr>
              <w:contextualSpacing/>
              <w:rPr>
                <w:b/>
                <w:u w:val="single"/>
              </w:rPr>
            </w:pPr>
          </w:p>
          <w:p w14:paraId="369D252F" w14:textId="45A843C8" w:rsidR="000F505E" w:rsidRPr="000F505E" w:rsidRDefault="00EC1473" w:rsidP="000F759C">
            <w:pPr>
              <w:contextualSpacing/>
              <w:jc w:val="both"/>
            </w:pPr>
            <w:r>
              <w:t xml:space="preserve">It is the committee's opinion that </w:t>
            </w:r>
            <w:r>
              <w:t>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066B14BA" w14:textId="77777777" w:rsidR="0017725B" w:rsidRPr="0017725B" w:rsidRDefault="0017725B" w:rsidP="000F759C">
            <w:pPr>
              <w:contextualSpacing/>
              <w:rPr>
                <w:b/>
                <w:u w:val="single"/>
              </w:rPr>
            </w:pPr>
          </w:p>
        </w:tc>
      </w:tr>
      <w:tr w:rsidR="00717DE2" w14:paraId="6894E1C4" w14:textId="77777777" w:rsidTr="00345119">
        <w:tc>
          <w:tcPr>
            <w:tcW w:w="9576" w:type="dxa"/>
          </w:tcPr>
          <w:p w14:paraId="0340CFDA" w14:textId="77777777" w:rsidR="008423E4" w:rsidRPr="00A8133F" w:rsidRDefault="00EC1473" w:rsidP="000F759C">
            <w:pPr>
              <w:contextualSpacing/>
              <w:rPr>
                <w:b/>
              </w:rPr>
            </w:pPr>
            <w:r w:rsidRPr="009C1E9A">
              <w:rPr>
                <w:b/>
                <w:u w:val="single"/>
              </w:rPr>
              <w:t>RULEMAKING AUTHOR</w:t>
            </w:r>
            <w:r w:rsidRPr="009C1E9A">
              <w:rPr>
                <w:b/>
                <w:u w:val="single"/>
              </w:rPr>
              <w:t>ITY</w:t>
            </w:r>
            <w:r>
              <w:rPr>
                <w:b/>
              </w:rPr>
              <w:t xml:space="preserve"> </w:t>
            </w:r>
          </w:p>
          <w:p w14:paraId="68729F88" w14:textId="77777777" w:rsidR="008423E4" w:rsidRDefault="008423E4" w:rsidP="000F759C">
            <w:pPr>
              <w:contextualSpacing/>
            </w:pPr>
          </w:p>
          <w:p w14:paraId="4B8D5886" w14:textId="0889EE04" w:rsidR="000F505E" w:rsidRDefault="00EC1473" w:rsidP="000F759C">
            <w:pPr>
              <w:pStyle w:val="Header"/>
              <w:tabs>
                <w:tab w:val="clear" w:pos="4320"/>
                <w:tab w:val="clear" w:pos="8640"/>
              </w:tabs>
              <w:contextualSpacing/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98B85B3" w14:textId="77777777" w:rsidR="008423E4" w:rsidRPr="00E21FDC" w:rsidRDefault="008423E4" w:rsidP="000F759C">
            <w:pPr>
              <w:contextualSpacing/>
              <w:rPr>
                <w:b/>
              </w:rPr>
            </w:pPr>
          </w:p>
        </w:tc>
      </w:tr>
      <w:tr w:rsidR="00717DE2" w14:paraId="76D2019C" w14:textId="77777777" w:rsidTr="00345119">
        <w:tc>
          <w:tcPr>
            <w:tcW w:w="9576" w:type="dxa"/>
          </w:tcPr>
          <w:p w14:paraId="32A60FD2" w14:textId="77777777" w:rsidR="008423E4" w:rsidRPr="00A8133F" w:rsidRDefault="00EC1473" w:rsidP="000F759C">
            <w:pPr>
              <w:contextualSpacing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7B9A92F" w14:textId="77777777" w:rsidR="008423E4" w:rsidRDefault="008423E4" w:rsidP="000F759C">
            <w:pPr>
              <w:contextualSpacing/>
            </w:pPr>
          </w:p>
          <w:p w14:paraId="4362234F" w14:textId="56741727" w:rsidR="00F351AE" w:rsidRDefault="00EC1473" w:rsidP="000F759C">
            <w:pPr>
              <w:pStyle w:val="Header"/>
              <w:tabs>
                <w:tab w:val="clear" w:pos="4320"/>
                <w:tab w:val="clear" w:pos="8640"/>
              </w:tabs>
              <w:contextualSpacing/>
              <w:jc w:val="both"/>
            </w:pPr>
            <w:r>
              <w:t>C.S.</w:t>
            </w:r>
            <w:r w:rsidR="00B43017">
              <w:t xml:space="preserve">H.B. 3374 amends the Government Code to </w:t>
            </w:r>
            <w:r w:rsidR="00955A64" w:rsidRPr="00955A64">
              <w:t>revise the definition of a "qualified employee</w:t>
            </w:r>
            <w:r>
              <w:t>"</w:t>
            </w:r>
            <w:r w:rsidR="00955A64" w:rsidRPr="00955A64">
              <w:t xml:space="preserve"> for purposes of the Texas Enterprise Zone Act </w:t>
            </w:r>
            <w:r w:rsidR="006C07A5">
              <w:t xml:space="preserve">by </w:t>
            </w:r>
            <w:r w:rsidR="00DD47CF">
              <w:t xml:space="preserve">including </w:t>
            </w:r>
            <w:r>
              <w:t xml:space="preserve">the criteria that </w:t>
            </w:r>
            <w:r w:rsidR="00DD47CF">
              <w:t>the</w:t>
            </w:r>
            <w:r>
              <w:t xml:space="preserve"> employee </w:t>
            </w:r>
            <w:r w:rsidR="00DD47CF">
              <w:t xml:space="preserve">is </w:t>
            </w:r>
            <w:r>
              <w:t>a Texas resident.</w:t>
            </w:r>
            <w:r w:rsidR="00955A64" w:rsidRPr="00955A64">
              <w:t xml:space="preserve"> </w:t>
            </w:r>
          </w:p>
          <w:p w14:paraId="7134A154" w14:textId="77777777" w:rsidR="00F351AE" w:rsidRDefault="00F351AE" w:rsidP="000F759C">
            <w:pPr>
              <w:pStyle w:val="Header"/>
              <w:tabs>
                <w:tab w:val="clear" w:pos="4320"/>
                <w:tab w:val="clear" w:pos="8640"/>
              </w:tabs>
              <w:contextualSpacing/>
              <w:jc w:val="both"/>
            </w:pPr>
          </w:p>
          <w:p w14:paraId="58D69FD6" w14:textId="4897D339" w:rsidR="000F505E" w:rsidRPr="009C36CD" w:rsidRDefault="00EC1473" w:rsidP="000F759C">
            <w:pPr>
              <w:pStyle w:val="Header"/>
              <w:tabs>
                <w:tab w:val="clear" w:pos="4320"/>
                <w:tab w:val="clear" w:pos="8640"/>
              </w:tabs>
              <w:contextualSpacing/>
              <w:jc w:val="both"/>
            </w:pPr>
            <w:r>
              <w:t>C.S.H.B. 3374</w:t>
            </w:r>
            <w:r w:rsidR="00955A64">
              <w:t xml:space="preserve"> </w:t>
            </w:r>
            <w:r w:rsidR="00E04992">
              <w:t>waive</w:t>
            </w:r>
            <w:r w:rsidR="00DA0FF6">
              <w:t>s</w:t>
            </w:r>
            <w:r w:rsidR="00841ACB">
              <w:t xml:space="preserve"> </w:t>
            </w:r>
            <w:r w:rsidR="00841ACB" w:rsidRPr="00841ACB">
              <w:t>the requirement that</w:t>
            </w:r>
            <w:r w:rsidR="00955A64">
              <w:t xml:space="preserve"> </w:t>
            </w:r>
            <w:r w:rsidR="00841ACB" w:rsidRPr="00841ACB">
              <w:t xml:space="preserve">an employee perform at least 50 percent of the person's service for </w:t>
            </w:r>
            <w:r w:rsidR="00E04992">
              <w:t>a</w:t>
            </w:r>
            <w:r w:rsidR="00841ACB" w:rsidRPr="00841ACB">
              <w:t xml:space="preserve"> business at </w:t>
            </w:r>
            <w:r w:rsidR="00E04992">
              <w:t>a</w:t>
            </w:r>
            <w:r w:rsidR="00841ACB" w:rsidRPr="00841ACB">
              <w:t xml:space="preserve"> qualified business site to be</w:t>
            </w:r>
            <w:r w:rsidR="00373000">
              <w:t xml:space="preserve"> considered</w:t>
            </w:r>
            <w:r w:rsidR="00841ACB" w:rsidRPr="00841ACB">
              <w:t xml:space="preserve"> a "qualified employee"</w:t>
            </w:r>
            <w:r w:rsidR="00157945">
              <w:t xml:space="preserve"> for </w:t>
            </w:r>
            <w:r w:rsidR="00157945" w:rsidRPr="00157945">
              <w:t>an enterprise project with a designation period that includes all or a portion of the COVID relief period</w:t>
            </w:r>
            <w:r w:rsidR="008E6045">
              <w:t xml:space="preserve">, which is the period beginning March </w:t>
            </w:r>
            <w:r w:rsidR="008C4FBE">
              <w:t>2</w:t>
            </w:r>
            <w:r w:rsidR="008E6045">
              <w:t>, 2020, and ending December</w:t>
            </w:r>
            <w:r w:rsidR="00D37BAF">
              <w:t> </w:t>
            </w:r>
            <w:r w:rsidR="008E6045">
              <w:t>31, 2021</w:t>
            </w:r>
            <w:r w:rsidR="00955A64">
              <w:t>. The bill</w:t>
            </w:r>
            <w:r w:rsidR="00157945" w:rsidRPr="00157945">
              <w:t xml:space="preserve"> </w:t>
            </w:r>
            <w:r w:rsidR="00955A64">
              <w:t xml:space="preserve">establishes that </w:t>
            </w:r>
            <w:r w:rsidR="00157945" w:rsidRPr="00157945">
              <w:t>the waiver extends throughout the job retention period for those employees</w:t>
            </w:r>
            <w:r w:rsidR="00B46EE1">
              <w:t xml:space="preserve"> and applies only with respect to an employee</w:t>
            </w:r>
            <w:r w:rsidR="00B32EA0">
              <w:t xml:space="preserve"> who is a Texas resident.</w:t>
            </w:r>
            <w:r w:rsidR="00157945">
              <w:t xml:space="preserve"> </w:t>
            </w:r>
            <w:r w:rsidR="00B32EA0">
              <w:t>These provisions</w:t>
            </w:r>
            <w:r>
              <w:t xml:space="preserve"> app</w:t>
            </w:r>
            <w:r w:rsidR="00B32EA0">
              <w:t>ly</w:t>
            </w:r>
            <w:r>
              <w:t xml:space="preserve"> to </w:t>
            </w:r>
            <w:r w:rsidRPr="000F505E">
              <w:t xml:space="preserve">any audit by the comptroller </w:t>
            </w:r>
            <w:r w:rsidR="00B32EA0">
              <w:t xml:space="preserve">of public accounts </w:t>
            </w:r>
            <w:r w:rsidRPr="000F505E">
              <w:t xml:space="preserve">of whether an enterprise project is eligible for a </w:t>
            </w:r>
            <w:r w:rsidR="00E931D8">
              <w:t xml:space="preserve">sales and use </w:t>
            </w:r>
            <w:r w:rsidRPr="000F505E">
              <w:t xml:space="preserve">tax refund that is not finally completed before the </w:t>
            </w:r>
            <w:r>
              <w:t xml:space="preserve">bill's </w:t>
            </w:r>
            <w:r w:rsidRPr="000F505E">
              <w:t>effective date</w:t>
            </w:r>
            <w:r w:rsidR="00B32EA0">
              <w:t xml:space="preserve"> and</w:t>
            </w:r>
            <w:r w:rsidR="005B0E83">
              <w:t xml:space="preserve"> expire December </w:t>
            </w:r>
            <w:r w:rsidR="00723C08">
              <w:t>3</w:t>
            </w:r>
            <w:r w:rsidR="005B0E83">
              <w:t xml:space="preserve">1, 2030. </w:t>
            </w:r>
          </w:p>
          <w:p w14:paraId="39406791" w14:textId="77777777" w:rsidR="008423E4" w:rsidRPr="00835628" w:rsidRDefault="008423E4" w:rsidP="000F759C">
            <w:pPr>
              <w:contextualSpacing/>
              <w:rPr>
                <w:b/>
              </w:rPr>
            </w:pPr>
          </w:p>
        </w:tc>
      </w:tr>
      <w:tr w:rsidR="00717DE2" w14:paraId="2533ADC2" w14:textId="77777777" w:rsidTr="00345119">
        <w:tc>
          <w:tcPr>
            <w:tcW w:w="9576" w:type="dxa"/>
          </w:tcPr>
          <w:p w14:paraId="7194B900" w14:textId="77777777" w:rsidR="008423E4" w:rsidRPr="00A8133F" w:rsidRDefault="00EC1473" w:rsidP="000F759C">
            <w:pPr>
              <w:contextualSpacing/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18A349A" w14:textId="77777777" w:rsidR="008423E4" w:rsidRDefault="008423E4" w:rsidP="000F759C">
            <w:pPr>
              <w:contextualSpacing/>
            </w:pPr>
          </w:p>
          <w:p w14:paraId="5E10DEAC" w14:textId="633D22FA" w:rsidR="008423E4" w:rsidRPr="003624F2" w:rsidRDefault="00EC1473" w:rsidP="000F759C">
            <w:pPr>
              <w:pStyle w:val="Header"/>
              <w:tabs>
                <w:tab w:val="clear" w:pos="4320"/>
                <w:tab w:val="clear" w:pos="8640"/>
              </w:tabs>
              <w:contextualSpacing/>
              <w:jc w:val="both"/>
            </w:pPr>
            <w:r>
              <w:t>On passage, or, if the bill does not receive the necessary vote, September 1, 2023.</w:t>
            </w:r>
          </w:p>
          <w:p w14:paraId="483B4786" w14:textId="77777777" w:rsidR="008423E4" w:rsidRPr="00233FDB" w:rsidRDefault="008423E4" w:rsidP="000F759C">
            <w:pPr>
              <w:contextualSpacing/>
              <w:rPr>
                <w:b/>
              </w:rPr>
            </w:pPr>
          </w:p>
        </w:tc>
      </w:tr>
      <w:tr w:rsidR="00717DE2" w14:paraId="0C2EBC12" w14:textId="77777777" w:rsidTr="00345119">
        <w:tc>
          <w:tcPr>
            <w:tcW w:w="9576" w:type="dxa"/>
          </w:tcPr>
          <w:p w14:paraId="695FE364" w14:textId="77777777" w:rsidR="00FA1BDE" w:rsidRDefault="00EC1473" w:rsidP="000F759C">
            <w:pPr>
              <w:keepNext/>
              <w:contextualSpacing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1B7BCC2C" w14:textId="77777777" w:rsidR="00C41831" w:rsidRDefault="00C41831" w:rsidP="000F759C">
            <w:pPr>
              <w:keepNext/>
              <w:contextualSpacing/>
              <w:jc w:val="both"/>
              <w:rPr>
                <w:b/>
                <w:u w:val="single"/>
              </w:rPr>
            </w:pPr>
          </w:p>
          <w:p w14:paraId="7754619D" w14:textId="77777777" w:rsidR="00912AF5" w:rsidRDefault="00EC1473" w:rsidP="000F759C">
            <w:pPr>
              <w:contextualSpacing/>
              <w:jc w:val="both"/>
            </w:pPr>
            <w:r>
              <w:t>While C.S.H.B. 3374 may differ from the introduced in minor or nonsubstantive ways, the followin</w:t>
            </w:r>
            <w:r>
              <w:t>g summarizes the substantial differences between the introduced and committee substitute versions of the bill.</w:t>
            </w:r>
          </w:p>
          <w:p w14:paraId="7B31B5A0" w14:textId="77777777" w:rsidR="00912AF5" w:rsidRDefault="00912AF5" w:rsidP="000F759C">
            <w:pPr>
              <w:contextualSpacing/>
              <w:jc w:val="both"/>
            </w:pPr>
          </w:p>
          <w:p w14:paraId="3D11A30D" w14:textId="1335F016" w:rsidR="00912AF5" w:rsidRDefault="00EC1473" w:rsidP="000F759C">
            <w:pPr>
              <w:contextualSpacing/>
              <w:jc w:val="both"/>
            </w:pPr>
            <w:r>
              <w:t xml:space="preserve">The substitute contains a provision not present in the introduced revising the definition of "qualified employee" for purposes of the </w:t>
            </w:r>
            <w:r w:rsidRPr="00F14B8D">
              <w:t>Texas Enterprise Zone Act</w:t>
            </w:r>
            <w:r>
              <w:t xml:space="preserve"> to include the criteria that the employee is a Texas resident. </w:t>
            </w:r>
          </w:p>
          <w:p w14:paraId="17482727" w14:textId="03C9E54A" w:rsidR="008C4FBE" w:rsidRDefault="008C4FBE" w:rsidP="000F759C">
            <w:pPr>
              <w:contextualSpacing/>
              <w:jc w:val="both"/>
            </w:pPr>
          </w:p>
          <w:p w14:paraId="736DEBFF" w14:textId="4E2B75E4" w:rsidR="008C4FBE" w:rsidRDefault="00EC1473" w:rsidP="000F759C">
            <w:pPr>
              <w:contextualSpacing/>
              <w:jc w:val="both"/>
            </w:pPr>
            <w:r>
              <w:t>The substitute changes the star</w:t>
            </w:r>
            <w:r>
              <w:t xml:space="preserve">t date of the COVID relief period from March 1, 2020, as in the introduced, to March 2, 2020. </w:t>
            </w:r>
          </w:p>
          <w:p w14:paraId="68A90129" w14:textId="77777777" w:rsidR="00912AF5" w:rsidRDefault="00912AF5" w:rsidP="000F759C">
            <w:pPr>
              <w:contextualSpacing/>
              <w:jc w:val="both"/>
            </w:pPr>
          </w:p>
          <w:p w14:paraId="369E8120" w14:textId="77777777" w:rsidR="00912AF5" w:rsidRDefault="00EC1473" w:rsidP="000F759C">
            <w:pPr>
              <w:contextualSpacing/>
              <w:jc w:val="both"/>
            </w:pPr>
            <w:r>
              <w:t xml:space="preserve">Both the introduced and the substitute provide for a waiver of the requirement that an employee perform </w:t>
            </w:r>
            <w:r w:rsidRPr="0065267C">
              <w:t xml:space="preserve">at least 50 percent of the person's service for </w:t>
            </w:r>
            <w:r>
              <w:t>a</w:t>
            </w:r>
            <w:r w:rsidRPr="0065267C">
              <w:t xml:space="preserve"> business at </w:t>
            </w:r>
            <w:r>
              <w:t>a</w:t>
            </w:r>
            <w:r w:rsidRPr="0065267C">
              <w:t xml:space="preserve"> qualified business site to be </w:t>
            </w:r>
            <w:r>
              <w:t xml:space="preserve">considered </w:t>
            </w:r>
            <w:r w:rsidRPr="0065267C">
              <w:t>a "qualified employee</w:t>
            </w:r>
            <w:r>
              <w:t xml:space="preserve">." However, while the introduced waived that requirement for </w:t>
            </w:r>
            <w:r w:rsidRPr="00C41831">
              <w:t>an annual certification or job retention period that includes the COVID relief period</w:t>
            </w:r>
            <w:r>
              <w:t>, the substitute waives that requ</w:t>
            </w:r>
            <w:r>
              <w:t xml:space="preserve">irement for an enterprise project with a designation period </w:t>
            </w:r>
            <w:r w:rsidRPr="00C41831">
              <w:t>that includes all or a portion of the COVID relief period</w:t>
            </w:r>
            <w:r>
              <w:t xml:space="preserve"> and establishes that the waiver </w:t>
            </w:r>
            <w:r w:rsidRPr="00861542">
              <w:t>extends throughout the job retention period</w:t>
            </w:r>
            <w:r>
              <w:t xml:space="preserve">. </w:t>
            </w:r>
            <w:r w:rsidRPr="00DD47CF">
              <w:t>The substitute includes a provision absent from the introduce</w:t>
            </w:r>
            <w:r w:rsidRPr="00DD47CF">
              <w:t>d making the waiver applicable only with respect to an employee who is a Texas resident.</w:t>
            </w:r>
          </w:p>
          <w:p w14:paraId="79CC6C6F" w14:textId="77777777" w:rsidR="00912AF5" w:rsidRDefault="00912AF5" w:rsidP="000F759C">
            <w:pPr>
              <w:contextualSpacing/>
              <w:jc w:val="both"/>
            </w:pPr>
          </w:p>
          <w:p w14:paraId="3268C6ED" w14:textId="77777777" w:rsidR="00912AF5" w:rsidRDefault="00EC1473" w:rsidP="000F759C">
            <w:pPr>
              <w:contextualSpacing/>
              <w:jc w:val="both"/>
            </w:pPr>
            <w:r>
              <w:t xml:space="preserve">The substitute does not include the following provisions that were present in the introduced: </w:t>
            </w:r>
          </w:p>
          <w:p w14:paraId="78A43B73" w14:textId="77777777" w:rsidR="00912AF5" w:rsidRDefault="00EC1473" w:rsidP="000F759C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an authorization for a qualified business in compliance with the </w:t>
            </w:r>
            <w:r w:rsidRPr="00495218">
              <w:t xml:space="preserve">Texas </w:t>
            </w:r>
            <w:r w:rsidRPr="00495218">
              <w:t>Enterprise Zone Act</w:t>
            </w:r>
            <w:r>
              <w:t xml:space="preserve"> before the COVID relief period that is eligible for the waiver to elect to withdraw its project or activity from designation as an enterprise project by December 31, 2023;</w:t>
            </w:r>
          </w:p>
          <w:p w14:paraId="2BDC4499" w14:textId="77777777" w:rsidR="000F759C" w:rsidRDefault="00EC1473" w:rsidP="000F759C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a provision making a qualified business that withdraws its enter</w:t>
            </w:r>
            <w:r>
              <w:t xml:space="preserve">prise project </w:t>
            </w:r>
            <w:r w:rsidRPr="00281DDE">
              <w:t>designation eligible for any refund of state taxes approved for the COVID relief period</w:t>
            </w:r>
            <w:r>
              <w:t>; and</w:t>
            </w:r>
          </w:p>
          <w:p w14:paraId="203429A7" w14:textId="605B5BC3" w:rsidR="00912AF5" w:rsidRPr="000F759C" w:rsidRDefault="00EC1473" w:rsidP="000F759C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a requirement for the comptroller to waive </w:t>
            </w:r>
            <w:r w:rsidRPr="00281DDE">
              <w:t xml:space="preserve">the requirement for </w:t>
            </w:r>
            <w:r>
              <w:t>an enterprise project that qualifies for a sales and use tax refund</w:t>
            </w:r>
            <w:r w:rsidRPr="00281DDE">
              <w:t xml:space="preserve"> </w:t>
            </w:r>
            <w:r w:rsidRPr="006A2AFC">
              <w:t xml:space="preserve">to maintain </w:t>
            </w:r>
            <w:r w:rsidRPr="00D021F3">
              <w:t xml:space="preserve">a </w:t>
            </w:r>
            <w:r w:rsidRPr="006A2AFC">
              <w:t>cert</w:t>
            </w:r>
            <w:r w:rsidRPr="006A2AFC">
              <w:t>ain level of employment of qualified employees</w:t>
            </w:r>
            <w:r>
              <w:t xml:space="preserve"> for a three-year period</w:t>
            </w:r>
            <w:r w:rsidRPr="006A2AFC">
              <w:t xml:space="preserve"> </w:t>
            </w:r>
            <w:r>
              <w:t xml:space="preserve">for a </w:t>
            </w:r>
            <w:r w:rsidRPr="00E604A8">
              <w:t>qualified business that did not meet the requirement that a qualified employee perform at least 50 percent of the person's service for the business at the qualified business site</w:t>
            </w:r>
            <w:r>
              <w:t xml:space="preserve"> </w:t>
            </w:r>
            <w:r>
              <w:t xml:space="preserve">at any time during the COVID relief period.  </w:t>
            </w:r>
          </w:p>
        </w:tc>
      </w:tr>
      <w:tr w:rsidR="00717DE2" w14:paraId="5FFB2DAA" w14:textId="77777777" w:rsidTr="00345119">
        <w:tc>
          <w:tcPr>
            <w:tcW w:w="9576" w:type="dxa"/>
          </w:tcPr>
          <w:p w14:paraId="0DB47BB9" w14:textId="77777777" w:rsidR="0003312B" w:rsidRPr="009C1E9A" w:rsidRDefault="0003312B" w:rsidP="000F759C">
            <w:pPr>
              <w:contextualSpacing/>
              <w:rPr>
                <w:b/>
                <w:u w:val="single"/>
              </w:rPr>
            </w:pPr>
          </w:p>
        </w:tc>
      </w:tr>
      <w:tr w:rsidR="00717DE2" w14:paraId="007DAEB0" w14:textId="77777777" w:rsidTr="00345119">
        <w:tc>
          <w:tcPr>
            <w:tcW w:w="9576" w:type="dxa"/>
          </w:tcPr>
          <w:p w14:paraId="0A01C20A" w14:textId="77777777" w:rsidR="0003312B" w:rsidRPr="00FA1BDE" w:rsidRDefault="0003312B" w:rsidP="000F759C">
            <w:pPr>
              <w:contextualSpacing/>
              <w:jc w:val="both"/>
            </w:pPr>
          </w:p>
        </w:tc>
      </w:tr>
      <w:tr w:rsidR="00717DE2" w14:paraId="1A8F5A63" w14:textId="77777777" w:rsidTr="00345119">
        <w:tc>
          <w:tcPr>
            <w:tcW w:w="9576" w:type="dxa"/>
          </w:tcPr>
          <w:p w14:paraId="6342F3C9" w14:textId="77777777" w:rsidR="00FA1BDE" w:rsidRPr="0003312B" w:rsidRDefault="00FA1BDE" w:rsidP="000F759C">
            <w:pPr>
              <w:contextualSpacing/>
              <w:jc w:val="both"/>
            </w:pPr>
          </w:p>
        </w:tc>
      </w:tr>
      <w:tr w:rsidR="00717DE2" w14:paraId="46B842AD" w14:textId="77777777" w:rsidTr="00345119">
        <w:tc>
          <w:tcPr>
            <w:tcW w:w="9576" w:type="dxa"/>
          </w:tcPr>
          <w:p w14:paraId="60F589E7" w14:textId="77777777" w:rsidR="00FA1BDE" w:rsidRPr="0003312B" w:rsidRDefault="00FA1BDE" w:rsidP="000F759C">
            <w:pPr>
              <w:contextualSpacing/>
              <w:jc w:val="both"/>
            </w:pPr>
          </w:p>
        </w:tc>
      </w:tr>
      <w:tr w:rsidR="00717DE2" w14:paraId="32126D3C" w14:textId="77777777" w:rsidTr="00345119">
        <w:tc>
          <w:tcPr>
            <w:tcW w:w="9576" w:type="dxa"/>
          </w:tcPr>
          <w:p w14:paraId="57B0BB68" w14:textId="77777777" w:rsidR="00FA1BDE" w:rsidRPr="0003312B" w:rsidRDefault="00FA1BDE" w:rsidP="000F759C">
            <w:pPr>
              <w:contextualSpacing/>
              <w:jc w:val="both"/>
            </w:pPr>
          </w:p>
        </w:tc>
      </w:tr>
    </w:tbl>
    <w:p w14:paraId="4A9DA94B" w14:textId="77777777" w:rsidR="008423E4" w:rsidRPr="00BE0E75" w:rsidRDefault="008423E4" w:rsidP="000F759C">
      <w:pPr>
        <w:contextualSpacing/>
        <w:jc w:val="both"/>
        <w:rPr>
          <w:rFonts w:ascii="Arial" w:hAnsi="Arial"/>
          <w:sz w:val="16"/>
          <w:szCs w:val="16"/>
        </w:rPr>
      </w:pPr>
    </w:p>
    <w:p w14:paraId="1D747678" w14:textId="77777777" w:rsidR="004108C3" w:rsidRPr="008423E4" w:rsidRDefault="004108C3" w:rsidP="000F759C">
      <w:pPr>
        <w:contextualSpacing/>
      </w:pPr>
    </w:p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B28B9" w14:textId="77777777" w:rsidR="00000000" w:rsidRDefault="00EC1473">
      <w:r>
        <w:separator/>
      </w:r>
    </w:p>
  </w:endnote>
  <w:endnote w:type="continuationSeparator" w:id="0">
    <w:p w14:paraId="465A330E" w14:textId="77777777" w:rsidR="00000000" w:rsidRDefault="00EC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A71C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17DE2" w14:paraId="1B3A68C3" w14:textId="77777777" w:rsidTr="009C1E9A">
      <w:trPr>
        <w:cantSplit/>
      </w:trPr>
      <w:tc>
        <w:tcPr>
          <w:tcW w:w="0" w:type="pct"/>
        </w:tcPr>
        <w:p w14:paraId="1D963B8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777031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BBF2B2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FE84DA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DF8574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17DE2" w14:paraId="0E989A46" w14:textId="77777777" w:rsidTr="009C1E9A">
      <w:trPr>
        <w:cantSplit/>
      </w:trPr>
      <w:tc>
        <w:tcPr>
          <w:tcW w:w="0" w:type="pct"/>
        </w:tcPr>
        <w:p w14:paraId="2AD1CC5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D9A0F95" w14:textId="3A2A7F12" w:rsidR="00EC379B" w:rsidRPr="009C1E9A" w:rsidRDefault="00EC147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24343-D</w:t>
          </w:r>
        </w:p>
      </w:tc>
      <w:tc>
        <w:tcPr>
          <w:tcW w:w="2453" w:type="pct"/>
        </w:tcPr>
        <w:p w14:paraId="2A54B460" w14:textId="1FF1C019" w:rsidR="00EC379B" w:rsidRDefault="00EC147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9287A">
            <w:t>23.107.1501</w:t>
          </w:r>
          <w:r>
            <w:fldChar w:fldCharType="end"/>
          </w:r>
        </w:p>
      </w:tc>
    </w:tr>
    <w:tr w:rsidR="00717DE2" w14:paraId="57B6A878" w14:textId="77777777" w:rsidTr="009C1E9A">
      <w:trPr>
        <w:cantSplit/>
      </w:trPr>
      <w:tc>
        <w:tcPr>
          <w:tcW w:w="0" w:type="pct"/>
        </w:tcPr>
        <w:p w14:paraId="0F63294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A3344F5" w14:textId="4C3373FF" w:rsidR="00EC379B" w:rsidRPr="009C1E9A" w:rsidRDefault="00EC147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21279</w:t>
          </w:r>
        </w:p>
      </w:tc>
      <w:tc>
        <w:tcPr>
          <w:tcW w:w="2453" w:type="pct"/>
        </w:tcPr>
        <w:p w14:paraId="4BE965B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3F0CB5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17DE2" w14:paraId="3D0C0CE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569DCD6" w14:textId="77777777" w:rsidR="00EC379B" w:rsidRDefault="00EC147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949BE0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257C52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7312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E5583" w14:textId="77777777" w:rsidR="00000000" w:rsidRDefault="00EC1473">
      <w:r>
        <w:separator/>
      </w:r>
    </w:p>
  </w:footnote>
  <w:footnote w:type="continuationSeparator" w:id="0">
    <w:p w14:paraId="03A2D55B" w14:textId="77777777" w:rsidR="00000000" w:rsidRDefault="00EC1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FE6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31BA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6183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825"/>
    <w:multiLevelType w:val="hybridMultilevel"/>
    <w:tmpl w:val="03DC5144"/>
    <w:lvl w:ilvl="0" w:tplc="922AD3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F473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6E36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AAF4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813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DE74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25A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184C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6474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82AE9"/>
    <w:multiLevelType w:val="hybridMultilevel"/>
    <w:tmpl w:val="E5B87E2E"/>
    <w:lvl w:ilvl="0" w:tplc="162CF0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7CB4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182B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644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CF0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E446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A76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9A61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8E19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1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65A6"/>
    <w:rsid w:val="00027E81"/>
    <w:rsid w:val="00030AD8"/>
    <w:rsid w:val="0003107A"/>
    <w:rsid w:val="00031C95"/>
    <w:rsid w:val="000330D4"/>
    <w:rsid w:val="0003312B"/>
    <w:rsid w:val="000354B7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4621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5C8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05E"/>
    <w:rsid w:val="000F5843"/>
    <w:rsid w:val="000F6A06"/>
    <w:rsid w:val="000F759C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57945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13C5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5E1C"/>
    <w:rsid w:val="00277434"/>
    <w:rsid w:val="00280123"/>
    <w:rsid w:val="00281343"/>
    <w:rsid w:val="00281883"/>
    <w:rsid w:val="00281DDE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06AD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3000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445D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400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5218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5FF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46CBE"/>
    <w:rsid w:val="00551CA6"/>
    <w:rsid w:val="00555034"/>
    <w:rsid w:val="005570D2"/>
    <w:rsid w:val="00561528"/>
    <w:rsid w:val="0056153F"/>
    <w:rsid w:val="00561B14"/>
    <w:rsid w:val="00562C87"/>
    <w:rsid w:val="005636BD"/>
    <w:rsid w:val="005639D4"/>
    <w:rsid w:val="005666D5"/>
    <w:rsid w:val="005669A7"/>
    <w:rsid w:val="00567B5C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017"/>
    <w:rsid w:val="005A12A5"/>
    <w:rsid w:val="005A3790"/>
    <w:rsid w:val="005A3CCB"/>
    <w:rsid w:val="005A6D13"/>
    <w:rsid w:val="005B031F"/>
    <w:rsid w:val="005B0E83"/>
    <w:rsid w:val="005B3298"/>
    <w:rsid w:val="005B3C13"/>
    <w:rsid w:val="005B5516"/>
    <w:rsid w:val="005B5D2B"/>
    <w:rsid w:val="005C1496"/>
    <w:rsid w:val="005C17C5"/>
    <w:rsid w:val="005C2AD1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101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267C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2AFC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07A5"/>
    <w:rsid w:val="006C4709"/>
    <w:rsid w:val="006D3005"/>
    <w:rsid w:val="006D504F"/>
    <w:rsid w:val="006D6DB2"/>
    <w:rsid w:val="006E0CAC"/>
    <w:rsid w:val="006E1CFB"/>
    <w:rsid w:val="006E1F94"/>
    <w:rsid w:val="006E26C1"/>
    <w:rsid w:val="006E30A8"/>
    <w:rsid w:val="006E3BCE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2"/>
    <w:rsid w:val="00717DE4"/>
    <w:rsid w:val="00721724"/>
    <w:rsid w:val="00722EC5"/>
    <w:rsid w:val="00723326"/>
    <w:rsid w:val="00723C08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5EE6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4A4F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1631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1ACB"/>
    <w:rsid w:val="00841CFA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542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5CB2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4FBE"/>
    <w:rsid w:val="008C7BE2"/>
    <w:rsid w:val="008D27A5"/>
    <w:rsid w:val="008D2AAB"/>
    <w:rsid w:val="008D309C"/>
    <w:rsid w:val="008D3DA3"/>
    <w:rsid w:val="008D58F9"/>
    <w:rsid w:val="008D7427"/>
    <w:rsid w:val="008E3338"/>
    <w:rsid w:val="008E47BE"/>
    <w:rsid w:val="008E6045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5593"/>
    <w:rsid w:val="00907780"/>
    <w:rsid w:val="00907EDD"/>
    <w:rsid w:val="009107AD"/>
    <w:rsid w:val="00912AF5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5A64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287A"/>
    <w:rsid w:val="0099403D"/>
    <w:rsid w:val="00995B0B"/>
    <w:rsid w:val="009A167E"/>
    <w:rsid w:val="009A1883"/>
    <w:rsid w:val="009A39F5"/>
    <w:rsid w:val="009A4588"/>
    <w:rsid w:val="009A47CC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550"/>
    <w:rsid w:val="00A227E0"/>
    <w:rsid w:val="00A232E4"/>
    <w:rsid w:val="00A249A9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76AB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38E"/>
    <w:rsid w:val="00B25612"/>
    <w:rsid w:val="00B26437"/>
    <w:rsid w:val="00B2678E"/>
    <w:rsid w:val="00B30647"/>
    <w:rsid w:val="00B31F0E"/>
    <w:rsid w:val="00B32EA0"/>
    <w:rsid w:val="00B33A7D"/>
    <w:rsid w:val="00B34F25"/>
    <w:rsid w:val="00B43017"/>
    <w:rsid w:val="00B43672"/>
    <w:rsid w:val="00B46EE1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17995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1831"/>
    <w:rsid w:val="00C42B41"/>
    <w:rsid w:val="00C46166"/>
    <w:rsid w:val="00C4710D"/>
    <w:rsid w:val="00C50CAD"/>
    <w:rsid w:val="00C52344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619E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21F3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AF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0FF6"/>
    <w:rsid w:val="00DA1EFA"/>
    <w:rsid w:val="00DA25E7"/>
    <w:rsid w:val="00DA2B23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47C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992"/>
    <w:rsid w:val="00E04B30"/>
    <w:rsid w:val="00E05FB7"/>
    <w:rsid w:val="00E066E6"/>
    <w:rsid w:val="00E06807"/>
    <w:rsid w:val="00E06C5E"/>
    <w:rsid w:val="00E0752B"/>
    <w:rsid w:val="00E07D78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04A8"/>
    <w:rsid w:val="00E6064B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1D8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1473"/>
    <w:rsid w:val="00EC33C6"/>
    <w:rsid w:val="00EC379B"/>
    <w:rsid w:val="00EC37DF"/>
    <w:rsid w:val="00EC3A99"/>
    <w:rsid w:val="00EC41B1"/>
    <w:rsid w:val="00ED0665"/>
    <w:rsid w:val="00ED12C0"/>
    <w:rsid w:val="00ED19F0"/>
    <w:rsid w:val="00ED2AF8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4B8D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51AE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1BDE"/>
    <w:rsid w:val="00FA32FC"/>
    <w:rsid w:val="00FA59FD"/>
    <w:rsid w:val="00FA5D8C"/>
    <w:rsid w:val="00FA6403"/>
    <w:rsid w:val="00FB16CD"/>
    <w:rsid w:val="00FB73AE"/>
    <w:rsid w:val="00FC5388"/>
    <w:rsid w:val="00FC726C"/>
    <w:rsid w:val="00FD126B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62B6C8-9853-4987-A840-53A7ED9E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41AC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41A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41AC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41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41ACB"/>
    <w:rPr>
      <w:b/>
      <w:bCs/>
    </w:rPr>
  </w:style>
  <w:style w:type="paragraph" w:styleId="Revision">
    <w:name w:val="Revision"/>
    <w:hidden/>
    <w:uiPriority w:val="99"/>
    <w:semiHidden/>
    <w:rsid w:val="00CB619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41CFA"/>
    <w:pPr>
      <w:ind w:left="720"/>
      <w:contextualSpacing/>
    </w:pPr>
  </w:style>
  <w:style w:type="character" w:styleId="Hyperlink">
    <w:name w:val="Hyperlink"/>
    <w:basedOn w:val="DefaultParagraphFont"/>
    <w:unhideWhenUsed/>
    <w:rsid w:val="00C5234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2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767</Words>
  <Characters>4056</Characters>
  <Application>Microsoft Office Word</Application>
  <DocSecurity>4</DocSecurity>
  <Lines>94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HB03374 (Committee Report (Substituted))</vt:lpstr>
    </vt:vector>
  </TitlesOfParts>
  <Company>State of Texas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24343</dc:subject>
  <dc:creator>State of Texas</dc:creator>
  <dc:description>HB 3374 by Button-(H)International Relations &amp; Economic Development (Substitute Document Number: 88R 21279)</dc:description>
  <cp:lastModifiedBy>Matthew Lee</cp:lastModifiedBy>
  <cp:revision>2</cp:revision>
  <cp:lastPrinted>2003-11-26T17:21:00Z</cp:lastPrinted>
  <dcterms:created xsi:type="dcterms:W3CDTF">2023-04-18T21:09:00Z</dcterms:created>
  <dcterms:modified xsi:type="dcterms:W3CDTF">2023-04-18T21:09:00Z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23.107.1501</vt:lpwstr>
  </property>
</Properties>
</file>