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82795D" w14:paraId="2017A4E6" w14:textId="77777777" w:rsidTr="00345119">
        <w:tc>
          <w:tcPr>
            <w:tcW w:w="9576" w:type="dxa"/>
            <w:noWrap/>
          </w:tcPr>
          <w:p w14:paraId="475EEF85" w14:textId="77777777" w:rsidR="008423E4" w:rsidRPr="0022177D" w:rsidRDefault="00AD744D" w:rsidP="006F24AB">
            <w:pPr>
              <w:pStyle w:val="Heading1"/>
            </w:pPr>
            <w:r w:rsidRPr="00631897">
              <w:t>BILL ANALYSIS</w:t>
            </w:r>
          </w:p>
        </w:tc>
      </w:tr>
    </w:tbl>
    <w:p w14:paraId="461DCE64" w14:textId="77777777" w:rsidR="008423E4" w:rsidRPr="0022177D" w:rsidRDefault="008423E4" w:rsidP="006F24AB">
      <w:pPr>
        <w:jc w:val="center"/>
      </w:pPr>
    </w:p>
    <w:p w14:paraId="0083AD12" w14:textId="77777777" w:rsidR="008423E4" w:rsidRPr="00B31F0E" w:rsidRDefault="008423E4" w:rsidP="006F24AB"/>
    <w:p w14:paraId="56933DBD" w14:textId="77777777" w:rsidR="008423E4" w:rsidRPr="00742794" w:rsidRDefault="008423E4" w:rsidP="006F24AB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82795D" w14:paraId="4A45FE56" w14:textId="77777777" w:rsidTr="00345119">
        <w:tc>
          <w:tcPr>
            <w:tcW w:w="9576" w:type="dxa"/>
          </w:tcPr>
          <w:p w14:paraId="69B47053" w14:textId="799E2C08" w:rsidR="008423E4" w:rsidRPr="00861995" w:rsidRDefault="00AD744D" w:rsidP="006F24AB">
            <w:pPr>
              <w:jc w:val="right"/>
            </w:pPr>
            <w:r>
              <w:t>C.S.H.B. 3390</w:t>
            </w:r>
          </w:p>
        </w:tc>
      </w:tr>
      <w:tr w:rsidR="0082795D" w14:paraId="46CC58F6" w14:textId="77777777" w:rsidTr="00345119">
        <w:tc>
          <w:tcPr>
            <w:tcW w:w="9576" w:type="dxa"/>
          </w:tcPr>
          <w:p w14:paraId="7A3B0F71" w14:textId="799FD2DE" w:rsidR="008423E4" w:rsidRPr="00861995" w:rsidRDefault="00AD744D" w:rsidP="006F24AB">
            <w:pPr>
              <w:jc w:val="right"/>
            </w:pPr>
            <w:r>
              <w:t xml:space="preserve">By: </w:t>
            </w:r>
            <w:r w:rsidR="00F70672">
              <w:t>Hunter</w:t>
            </w:r>
          </w:p>
        </w:tc>
      </w:tr>
      <w:tr w:rsidR="0082795D" w14:paraId="7A3E4456" w14:textId="77777777" w:rsidTr="00345119">
        <w:tc>
          <w:tcPr>
            <w:tcW w:w="9576" w:type="dxa"/>
          </w:tcPr>
          <w:p w14:paraId="287DB966" w14:textId="6CE3B623" w:rsidR="008423E4" w:rsidRPr="00861995" w:rsidRDefault="00AD744D" w:rsidP="006F24AB">
            <w:pPr>
              <w:jc w:val="right"/>
            </w:pPr>
            <w:r>
              <w:t>State Affairs</w:t>
            </w:r>
          </w:p>
        </w:tc>
      </w:tr>
      <w:tr w:rsidR="0082795D" w14:paraId="76BCAB49" w14:textId="77777777" w:rsidTr="00345119">
        <w:tc>
          <w:tcPr>
            <w:tcW w:w="9576" w:type="dxa"/>
          </w:tcPr>
          <w:p w14:paraId="41D07F9E" w14:textId="63255DB6" w:rsidR="008423E4" w:rsidRDefault="00AD744D" w:rsidP="006F24AB">
            <w:pPr>
              <w:jc w:val="right"/>
            </w:pPr>
            <w:r>
              <w:t>Committee Report (Substituted)</w:t>
            </w:r>
          </w:p>
        </w:tc>
      </w:tr>
    </w:tbl>
    <w:p w14:paraId="3F03F606" w14:textId="77777777" w:rsidR="008423E4" w:rsidRDefault="008423E4" w:rsidP="006F24AB">
      <w:pPr>
        <w:tabs>
          <w:tab w:val="right" w:pos="9360"/>
        </w:tabs>
      </w:pPr>
    </w:p>
    <w:p w14:paraId="16020A3E" w14:textId="77777777" w:rsidR="008423E4" w:rsidRDefault="008423E4" w:rsidP="006F24AB"/>
    <w:p w14:paraId="674F99A1" w14:textId="77777777" w:rsidR="008423E4" w:rsidRDefault="008423E4" w:rsidP="006F24AB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82795D" w14:paraId="31A1BDD4" w14:textId="77777777" w:rsidTr="00345119">
        <w:tc>
          <w:tcPr>
            <w:tcW w:w="9576" w:type="dxa"/>
          </w:tcPr>
          <w:p w14:paraId="73C59CA9" w14:textId="77777777" w:rsidR="008423E4" w:rsidRPr="00A8133F" w:rsidRDefault="00AD744D" w:rsidP="006F24AB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7F18042A" w14:textId="77777777" w:rsidR="008423E4" w:rsidRDefault="008423E4" w:rsidP="006F24AB"/>
          <w:p w14:paraId="5764BA5D" w14:textId="04C52923" w:rsidR="008423E4" w:rsidRDefault="00AD744D" w:rsidP="006F24A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085031">
              <w:t xml:space="preserve">While ERCOT has insight into resources and loads connected at the transmission level, it does not have the same visibility into </w:t>
            </w:r>
            <w:r w:rsidRPr="00085031">
              <w:t>distribution system</w:t>
            </w:r>
            <w:r>
              <w:t>s</w:t>
            </w:r>
            <w:r w:rsidRPr="00085031">
              <w:t xml:space="preserve">. ERCOT </w:t>
            </w:r>
            <w:r w:rsidR="006B2A07">
              <w:t xml:space="preserve">has </w:t>
            </w:r>
            <w:r w:rsidRPr="00085031">
              <w:t xml:space="preserve">raised concerns about this lack of available information and the limitations it creates on ERCOT's ability to properly forecast demand and plan for future needs. </w:t>
            </w:r>
            <w:r w:rsidR="006B2A07">
              <w:t xml:space="preserve">In its staff report to the 88th Texas Legislature evaluating ERCOT, the Sunset Advisory Commission stated that: "Since </w:t>
            </w:r>
            <w:r w:rsidRPr="00085031">
              <w:t xml:space="preserve">ERCOT </w:t>
            </w:r>
            <w:r w:rsidR="006B2A07" w:rsidRPr="006B2A07">
              <w:t xml:space="preserve">lacks visibility into distribution systems, it cannot provide </w:t>
            </w:r>
            <w:r w:rsidR="006B2A07">
              <w:t xml:space="preserve">[the Public Utility Commission of Texas] </w:t>
            </w:r>
            <w:r w:rsidR="006B2A07" w:rsidRPr="006B2A07">
              <w:t>with information about the problems those systems face or recommendations to address those problems, such as the technical problems of connecting a growing number of battery storage and solar facilities to distribution systems.</w:t>
            </w:r>
            <w:r w:rsidR="006B2A07">
              <w:t>"</w:t>
            </w:r>
            <w:r w:rsidR="006B2A07" w:rsidRPr="006B2A07">
              <w:t xml:space="preserve"> </w:t>
            </w:r>
            <w:r w:rsidR="006B2A07">
              <w:t xml:space="preserve">In short, ERCOT </w:t>
            </w:r>
            <w:r w:rsidRPr="00085031">
              <w:t xml:space="preserve">needs better information about the various devices connected to the distribution system to ensure it </w:t>
            </w:r>
            <w:r w:rsidRPr="00085031">
              <w:t>can continue to manage the grid reliably.</w:t>
            </w:r>
            <w:r>
              <w:t xml:space="preserve"> C.S.</w:t>
            </w:r>
            <w:r w:rsidRPr="00085031">
              <w:t>H</w:t>
            </w:r>
            <w:r>
              <w:t>.</w:t>
            </w:r>
            <w:r w:rsidRPr="00085031">
              <w:t>B</w:t>
            </w:r>
            <w:r>
              <w:t>.</w:t>
            </w:r>
            <w:r w:rsidRPr="00085031">
              <w:t xml:space="preserve"> 3390 seeks to address this problem by creating a mechanism for ERCOT to obtain the relevant information it needs on the distribution-level system.</w:t>
            </w:r>
          </w:p>
          <w:p w14:paraId="4E4E6C68" w14:textId="77777777" w:rsidR="008423E4" w:rsidRPr="00E26B13" w:rsidRDefault="008423E4" w:rsidP="006F24AB">
            <w:pPr>
              <w:rPr>
                <w:b/>
              </w:rPr>
            </w:pPr>
          </w:p>
        </w:tc>
      </w:tr>
      <w:tr w:rsidR="0082795D" w14:paraId="4836FD57" w14:textId="77777777" w:rsidTr="00345119">
        <w:tc>
          <w:tcPr>
            <w:tcW w:w="9576" w:type="dxa"/>
          </w:tcPr>
          <w:p w14:paraId="24FC4502" w14:textId="77777777" w:rsidR="0017725B" w:rsidRDefault="00AD744D" w:rsidP="006F24A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7CF03324" w14:textId="77777777" w:rsidR="0017725B" w:rsidRDefault="0017725B" w:rsidP="006F24AB">
            <w:pPr>
              <w:rPr>
                <w:b/>
                <w:u w:val="single"/>
              </w:rPr>
            </w:pPr>
          </w:p>
          <w:p w14:paraId="56C614FB" w14:textId="081FCD02" w:rsidR="00187F2A" w:rsidRPr="00187F2A" w:rsidRDefault="00AD744D" w:rsidP="006F24AB">
            <w:pPr>
              <w:jc w:val="both"/>
            </w:pPr>
            <w:r>
              <w:t>It is the committee's opinion t</w:t>
            </w:r>
            <w:r>
              <w:t>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276AD340" w14:textId="77777777" w:rsidR="0017725B" w:rsidRPr="0017725B" w:rsidRDefault="0017725B" w:rsidP="006F24AB">
            <w:pPr>
              <w:rPr>
                <w:b/>
                <w:u w:val="single"/>
              </w:rPr>
            </w:pPr>
          </w:p>
        </w:tc>
      </w:tr>
      <w:tr w:rsidR="0082795D" w14:paraId="6FCCA4E9" w14:textId="77777777" w:rsidTr="00345119">
        <w:tc>
          <w:tcPr>
            <w:tcW w:w="9576" w:type="dxa"/>
          </w:tcPr>
          <w:p w14:paraId="00A1CA33" w14:textId="77777777" w:rsidR="008423E4" w:rsidRPr="00A8133F" w:rsidRDefault="00AD744D" w:rsidP="006F24AB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</w:t>
            </w:r>
            <w:r w:rsidRPr="009C1E9A">
              <w:rPr>
                <w:b/>
                <w:u w:val="single"/>
              </w:rPr>
              <w:t>THORITY</w:t>
            </w:r>
            <w:r>
              <w:rPr>
                <w:b/>
              </w:rPr>
              <w:t xml:space="preserve"> </w:t>
            </w:r>
          </w:p>
          <w:p w14:paraId="59D6C6F7" w14:textId="77777777" w:rsidR="008423E4" w:rsidRDefault="008423E4" w:rsidP="006F24AB"/>
          <w:p w14:paraId="40BCD7E3" w14:textId="27B2FCAD" w:rsidR="00187F2A" w:rsidRDefault="00AD744D" w:rsidP="006F24A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3813EF35" w14:textId="77777777" w:rsidR="008423E4" w:rsidRPr="00E21FDC" w:rsidRDefault="008423E4" w:rsidP="006F24AB">
            <w:pPr>
              <w:rPr>
                <w:b/>
              </w:rPr>
            </w:pPr>
          </w:p>
        </w:tc>
      </w:tr>
      <w:tr w:rsidR="0082795D" w14:paraId="6DDA09FC" w14:textId="77777777" w:rsidTr="00345119">
        <w:tc>
          <w:tcPr>
            <w:tcW w:w="9576" w:type="dxa"/>
          </w:tcPr>
          <w:p w14:paraId="18DF64A0" w14:textId="77777777" w:rsidR="008423E4" w:rsidRPr="00A8133F" w:rsidRDefault="00AD744D" w:rsidP="006F24AB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4D2409D8" w14:textId="77777777" w:rsidR="008423E4" w:rsidRDefault="008423E4" w:rsidP="006F24AB"/>
          <w:p w14:paraId="3D2B4BDC" w14:textId="55305FA4" w:rsidR="00122818" w:rsidRDefault="00AD744D" w:rsidP="006F24A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</w:t>
            </w:r>
            <w:r w:rsidR="00D546FE">
              <w:t xml:space="preserve">H.B. 3390 amends the Utilities Code </w:t>
            </w:r>
            <w:r w:rsidR="00407EF6">
              <w:t xml:space="preserve">to </w:t>
            </w:r>
            <w:r>
              <w:t xml:space="preserve">remove provisions </w:t>
            </w:r>
            <w:r w:rsidR="00407EF6">
              <w:t>requir</w:t>
            </w:r>
            <w:r>
              <w:t>ing</w:t>
            </w:r>
            <w:r w:rsidR="00407EF6">
              <w:t xml:space="preserve"> an owner or operator of</w:t>
            </w:r>
            <w:r w:rsidR="00A44D59">
              <w:t xml:space="preserve"> distributed generation to register with ERCOT </w:t>
            </w:r>
            <w:r w:rsidR="009874F1">
              <w:t xml:space="preserve">and interconnecting transmission and distribution utility </w:t>
            </w:r>
            <w:r w:rsidR="00EA4231">
              <w:t xml:space="preserve">(TDU) </w:t>
            </w:r>
            <w:r w:rsidR="009874F1">
              <w:t>information necessary for the interconnection of the distributed generator</w:t>
            </w:r>
            <w:r>
              <w:t>.</w:t>
            </w:r>
            <w:r w:rsidR="009874F1">
              <w:t xml:space="preserve"> </w:t>
            </w:r>
          </w:p>
          <w:p w14:paraId="380CDEAE" w14:textId="5ED4A870" w:rsidR="00122818" w:rsidRDefault="00122818" w:rsidP="006F24A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33C70696" w14:textId="0040DCD9" w:rsidR="004E170A" w:rsidRDefault="00AD744D" w:rsidP="006F24A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</w:t>
            </w:r>
            <w:r w:rsidR="00122818">
              <w:t xml:space="preserve">H.B. 3390 authorizes </w:t>
            </w:r>
            <w:r w:rsidR="009874F1">
              <w:t xml:space="preserve">ERCOT </w:t>
            </w:r>
            <w:r w:rsidR="00122818">
              <w:t xml:space="preserve">instead, at </w:t>
            </w:r>
            <w:r w:rsidR="004B37ED">
              <w:t>its own</w:t>
            </w:r>
            <w:r w:rsidR="00122818">
              <w:t xml:space="preserve"> discretion, </w:t>
            </w:r>
            <w:r w:rsidR="009874F1">
              <w:t xml:space="preserve">to </w:t>
            </w:r>
            <w:r>
              <w:t xml:space="preserve">establish protocols to </w:t>
            </w:r>
            <w:r w:rsidR="009874F1">
              <w:t>require</w:t>
            </w:r>
            <w:r w:rsidR="00122818">
              <w:t xml:space="preserve"> </w:t>
            </w:r>
            <w:r w:rsidR="009874F1">
              <w:t>a</w:t>
            </w:r>
            <w:r>
              <w:t xml:space="preserve"> person who</w:t>
            </w:r>
            <w:r w:rsidR="009874F1">
              <w:t xml:space="preserve"> own</w:t>
            </w:r>
            <w:r>
              <w:t>s</w:t>
            </w:r>
            <w:r w:rsidR="009874F1">
              <w:t xml:space="preserve"> or operat</w:t>
            </w:r>
            <w:r>
              <w:t>es</w:t>
            </w:r>
            <w:r w:rsidR="001951E6">
              <w:t xml:space="preserve"> a distributed generation facility</w:t>
            </w:r>
            <w:r>
              <w:t xml:space="preserve"> interconnected to a utility system</w:t>
            </w:r>
            <w:r w:rsidR="009874F1">
              <w:t xml:space="preserve"> </w:t>
            </w:r>
            <w:r w:rsidR="001951E6">
              <w:t xml:space="preserve">operating in the </w:t>
            </w:r>
            <w:r w:rsidR="00122818">
              <w:t xml:space="preserve">ERCOT </w:t>
            </w:r>
            <w:r w:rsidR="001951E6">
              <w:t>power region</w:t>
            </w:r>
            <w:r>
              <w:t xml:space="preserve">, </w:t>
            </w:r>
            <w:r>
              <w:t>or who seeks to interconnect such a facility,</w:t>
            </w:r>
            <w:r w:rsidR="00EF31E2">
              <w:t xml:space="preserve"> </w:t>
            </w:r>
            <w:r w:rsidR="009874F1">
              <w:t xml:space="preserve">to provide </w:t>
            </w:r>
            <w:r w:rsidR="00254476">
              <w:t>to the interconnecting electric cooperative, municipally owned utility</w:t>
            </w:r>
            <w:r w:rsidR="00122818">
              <w:t>,</w:t>
            </w:r>
            <w:r w:rsidR="00254476">
              <w:t xml:space="preserve"> or </w:t>
            </w:r>
            <w:r w:rsidR="00122818">
              <w:t>TDU</w:t>
            </w:r>
            <w:r>
              <w:t xml:space="preserve"> information about the distributed generation facility that ERCOT determines is necessary for maintaining system reliabil</w:t>
            </w:r>
            <w:r>
              <w:t>ity</w:t>
            </w:r>
            <w:r w:rsidR="00254476">
              <w:t xml:space="preserve">. </w:t>
            </w:r>
            <w:r>
              <w:t>The bill authorizes the protocols to require that the information be provided as a condition to interconnection</w:t>
            </w:r>
            <w:r w:rsidR="007F3155">
              <w:t xml:space="preserve"> for any facility that is interconnected on or after September 1, 2023.</w:t>
            </w:r>
            <w:r w:rsidR="003959DD">
              <w:t xml:space="preserve"> These provisions are applicable to </w:t>
            </w:r>
            <w:r w:rsidR="003959DD" w:rsidRPr="00EA4231">
              <w:t>an electrical generating facility, including an energy storage facility, that</w:t>
            </w:r>
            <w:r w:rsidR="003959DD">
              <w:t xml:space="preserve"> </w:t>
            </w:r>
            <w:r w:rsidR="003959DD" w:rsidRPr="00EA4231">
              <w:t>is connected at a voltage less than 60 kilovolts</w:t>
            </w:r>
            <w:r w:rsidR="003959DD">
              <w:t xml:space="preserve"> and </w:t>
            </w:r>
            <w:r w:rsidR="003959DD" w:rsidRPr="00EA4231">
              <w:t>is capable of being connected in parallel operation to the utility system</w:t>
            </w:r>
            <w:r w:rsidR="009323AA">
              <w:t xml:space="preserve"> and they replace the provision in current law defining "distributed generation" as a facility that may be located at a customer's point of delivery, is connected at a voltage less than 60 kilovolts, and may be connected in parallel operation to the utility system.</w:t>
            </w:r>
          </w:p>
          <w:p w14:paraId="40AB658E" w14:textId="77777777" w:rsidR="004E170A" w:rsidRDefault="004E170A" w:rsidP="006F24A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0DDD2C69" w14:textId="13C8BDBE" w:rsidR="00694D0C" w:rsidRDefault="00AD744D" w:rsidP="006F24A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C.S.H.B. 3390</w:t>
            </w:r>
            <w:r w:rsidR="00187F2A">
              <w:t xml:space="preserve"> </w:t>
            </w:r>
            <w:r w:rsidR="0093395D">
              <w:t xml:space="preserve">authorizes ERCOT to </w:t>
            </w:r>
            <w:r>
              <w:t xml:space="preserve">establish protocols to </w:t>
            </w:r>
            <w:r w:rsidR="0093395D" w:rsidRPr="0093395D">
              <w:t xml:space="preserve">require </w:t>
            </w:r>
            <w:r>
              <w:t>a transmission service provider</w:t>
            </w:r>
            <w:r w:rsidR="0093395D" w:rsidRPr="0093395D">
              <w:t xml:space="preserve"> operating in </w:t>
            </w:r>
            <w:r w:rsidR="00122818">
              <w:t xml:space="preserve">the </w:t>
            </w:r>
            <w:r w:rsidR="00187F2A">
              <w:t>ERCOT</w:t>
            </w:r>
            <w:r w:rsidR="0093395D" w:rsidRPr="0093395D">
              <w:t xml:space="preserve"> </w:t>
            </w:r>
            <w:r w:rsidR="00122818">
              <w:t xml:space="preserve">power region </w:t>
            </w:r>
            <w:r w:rsidR="0093395D" w:rsidRPr="0093395D">
              <w:t xml:space="preserve">to </w:t>
            </w:r>
            <w:r>
              <w:t>report</w:t>
            </w:r>
            <w:r w:rsidRPr="0093395D">
              <w:t xml:space="preserve"> </w:t>
            </w:r>
            <w:r w:rsidR="0093395D" w:rsidRPr="0093395D">
              <w:t xml:space="preserve">to </w:t>
            </w:r>
            <w:r w:rsidR="00187F2A">
              <w:t>ERCOT</w:t>
            </w:r>
            <w:r>
              <w:t>, in aggregate by delivery port,</w:t>
            </w:r>
            <w:r w:rsidR="0093395D" w:rsidRPr="0093395D">
              <w:t xml:space="preserve"> information </w:t>
            </w:r>
            <w:r w:rsidR="00187F2A">
              <w:t>ERCOT</w:t>
            </w:r>
            <w:r w:rsidR="0093395D" w:rsidRPr="0093395D">
              <w:t xml:space="preserve"> </w:t>
            </w:r>
            <w:r>
              <w:t>determines</w:t>
            </w:r>
            <w:r w:rsidRPr="0093395D">
              <w:t xml:space="preserve"> </w:t>
            </w:r>
            <w:r>
              <w:t>i</w:t>
            </w:r>
            <w:r w:rsidR="0093395D" w:rsidRPr="0093395D">
              <w:t>s necessary for maintaining system reliability</w:t>
            </w:r>
            <w:r>
              <w:t xml:space="preserve"> regarding distributed generation facilities and distribution-connected loads that are not registered with ERCOT and are connected to the utility systems served by the provider</w:t>
            </w:r>
            <w:r w:rsidR="0093395D" w:rsidRPr="0093395D">
              <w:t>.</w:t>
            </w:r>
            <w:r w:rsidR="00266E63">
              <w:t xml:space="preserve"> The bill</w:t>
            </w:r>
            <w:r w:rsidR="00122818">
              <w:t xml:space="preserve"> </w:t>
            </w:r>
            <w:r>
              <w:t xml:space="preserve">authorizes ERCOT to establish protocols </w:t>
            </w:r>
            <w:r w:rsidRPr="00694D0C">
              <w:t>to require a m</w:t>
            </w:r>
            <w:r w:rsidRPr="00694D0C">
              <w:t>unicipally owned utility, electric cooperative</w:t>
            </w:r>
            <w:r>
              <w:t>, or TDU</w:t>
            </w:r>
            <w:r w:rsidRPr="00694D0C">
              <w:t xml:space="preserve"> that is not required to report load information directly to </w:t>
            </w:r>
            <w:r>
              <w:t>ERCOT</w:t>
            </w:r>
            <w:r w:rsidRPr="00694D0C">
              <w:t xml:space="preserve"> regarding the delivery points interconnected with its facilities to provide information to the utility's or cooperative's transmission </w:t>
            </w:r>
            <w:r w:rsidRPr="00694D0C">
              <w:t xml:space="preserve">service provider for purposes of </w:t>
            </w:r>
            <w:r>
              <w:t xml:space="preserve">that report. The bill defines "transmission service provider" as a </w:t>
            </w:r>
            <w:r w:rsidRPr="004E170A">
              <w:t>municipally owned utility, electric cooperative</w:t>
            </w:r>
            <w:r>
              <w:t>, or TDU</w:t>
            </w:r>
            <w:r w:rsidRPr="004E170A">
              <w:t xml:space="preserve"> that owns or operates facilities used for the transmission of electricity.</w:t>
            </w:r>
          </w:p>
          <w:p w14:paraId="0A3DB897" w14:textId="2206FFD5" w:rsidR="004E170A" w:rsidRDefault="004E170A" w:rsidP="006F24A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01914C93" w14:textId="0FB3E4D8" w:rsidR="00694D0C" w:rsidRDefault="00AD744D" w:rsidP="006F24A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C.S.H.B. 3390 establishe</w:t>
            </w:r>
            <w:r>
              <w:t xml:space="preserve">s that, with respect to a distributed generation facility interconnected before September 1, 2023, any protocols ERCOT establishes under the bill applicable to a </w:t>
            </w:r>
            <w:r w:rsidR="00146EAA">
              <w:t>municipally</w:t>
            </w:r>
            <w:r>
              <w:t xml:space="preserve"> owned utility, electric cooperative, or TDU may require </w:t>
            </w:r>
            <w:r w:rsidR="00146EAA">
              <w:t xml:space="preserve">a municipally owned utility, electric cooperative, or TDU </w:t>
            </w:r>
            <w:r>
              <w:t>to do the following:</w:t>
            </w:r>
          </w:p>
          <w:p w14:paraId="66B9A02D" w14:textId="77777777" w:rsidR="00694D0C" w:rsidRDefault="00AD744D" w:rsidP="006F24AB">
            <w:pPr>
              <w:pStyle w:val="Header"/>
              <w:numPr>
                <w:ilvl w:val="0"/>
                <w:numId w:val="1"/>
              </w:numPr>
              <w:jc w:val="both"/>
            </w:pPr>
            <w:r>
              <w:t>request information about the distributed generation facility from the owner or operator of the facility; and</w:t>
            </w:r>
          </w:p>
          <w:p w14:paraId="452CF69F" w14:textId="04E3BFEE" w:rsidR="00694D0C" w:rsidRDefault="00AD744D" w:rsidP="006F24AB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>in the absence of any timely response to the request for information, or if the information r</w:t>
            </w:r>
            <w:r>
              <w:t>easonably appears to be incorrect, provide to its transmission service provider a good-faith estimate of the information based on field observation or other data using reasonable engineering judgment.</w:t>
            </w:r>
          </w:p>
          <w:p w14:paraId="68CE6C70" w14:textId="77777777" w:rsidR="00694D0C" w:rsidRDefault="00694D0C" w:rsidP="006F24A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5EE992CF" w14:textId="4D7E67EB" w:rsidR="00146EAA" w:rsidRDefault="00AD744D" w:rsidP="006F24A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C.S.H.B. 3390 authorizes a municipally owned utility, </w:t>
            </w:r>
            <w:r>
              <w:t xml:space="preserve">electric cooperative, or TDU, in fulfilling any reporting obligation, to </w:t>
            </w:r>
            <w:r w:rsidRPr="00146EAA">
              <w:t>rely on any existing record regarding the information required for a distributed generation facility, if the municipally owned utility, electric cooperative</w:t>
            </w:r>
            <w:r>
              <w:t>, or TDU</w:t>
            </w:r>
            <w:r w:rsidRPr="00146EAA">
              <w:t xml:space="preserve"> reasonably believe</w:t>
            </w:r>
            <w:r w:rsidRPr="00146EAA">
              <w:t>s the information is accurate</w:t>
            </w:r>
            <w:r>
              <w:t xml:space="preserve">. </w:t>
            </w:r>
          </w:p>
          <w:p w14:paraId="127000C4" w14:textId="77777777" w:rsidR="008423E4" w:rsidRPr="00835628" w:rsidRDefault="008423E4" w:rsidP="006F24AB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</w:p>
        </w:tc>
      </w:tr>
      <w:tr w:rsidR="0082795D" w14:paraId="4E831717" w14:textId="77777777" w:rsidTr="00345119">
        <w:tc>
          <w:tcPr>
            <w:tcW w:w="9576" w:type="dxa"/>
          </w:tcPr>
          <w:p w14:paraId="60BDFDE2" w14:textId="77777777" w:rsidR="008423E4" w:rsidRPr="00A8133F" w:rsidRDefault="00AD744D" w:rsidP="006F24AB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73C1B252" w14:textId="77777777" w:rsidR="008423E4" w:rsidRDefault="008423E4" w:rsidP="006F24AB"/>
          <w:p w14:paraId="7FA21F42" w14:textId="77777777" w:rsidR="008423E4" w:rsidRDefault="00AD744D" w:rsidP="006F24AB">
            <w:pPr>
              <w:rPr>
                <w:bCs/>
              </w:rPr>
            </w:pPr>
            <w:r w:rsidRPr="00F4126A">
              <w:rPr>
                <w:bCs/>
              </w:rPr>
              <w:t>On passage, or, if the bill does not receive the necessary vote, September 1, 2023.</w:t>
            </w:r>
          </w:p>
          <w:p w14:paraId="654CCDE1" w14:textId="1DDB42E5" w:rsidR="006F24AB" w:rsidRPr="00F4126A" w:rsidRDefault="006F24AB" w:rsidP="006F24AB">
            <w:pPr>
              <w:rPr>
                <w:bCs/>
              </w:rPr>
            </w:pPr>
          </w:p>
        </w:tc>
      </w:tr>
      <w:tr w:rsidR="0082795D" w14:paraId="22FC5EEC" w14:textId="77777777" w:rsidTr="00345119">
        <w:tc>
          <w:tcPr>
            <w:tcW w:w="9576" w:type="dxa"/>
          </w:tcPr>
          <w:p w14:paraId="68095810" w14:textId="77777777" w:rsidR="00F70672" w:rsidRDefault="00AD744D" w:rsidP="006F24AB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INTRODUCED AND SUBSTITUTE</w:t>
            </w:r>
          </w:p>
          <w:p w14:paraId="6E4B1BBB" w14:textId="77777777" w:rsidR="00141FCC" w:rsidRDefault="00141FCC" w:rsidP="006F24AB">
            <w:pPr>
              <w:jc w:val="both"/>
            </w:pPr>
          </w:p>
          <w:p w14:paraId="6C58FD2F" w14:textId="314E7CAD" w:rsidR="00141FCC" w:rsidRDefault="00AD744D" w:rsidP="006F24AB">
            <w:pPr>
              <w:jc w:val="both"/>
            </w:pPr>
            <w:r>
              <w:t xml:space="preserve">While C.S.H.B. 3390 may differ from the introduced in minor or </w:t>
            </w:r>
            <w:r>
              <w:t>nonsubstantive ways, the following summarizes the substantial differences between the introduced and committee substitute versions of the bill.</w:t>
            </w:r>
          </w:p>
          <w:p w14:paraId="4B8259C0" w14:textId="62BA097E" w:rsidR="002353DC" w:rsidRDefault="002353DC" w:rsidP="006F24AB">
            <w:pPr>
              <w:jc w:val="both"/>
            </w:pPr>
          </w:p>
          <w:p w14:paraId="397F4378" w14:textId="2F24A185" w:rsidR="009F03EE" w:rsidRDefault="00AD744D" w:rsidP="006F24AB">
            <w:pPr>
              <w:jc w:val="both"/>
            </w:pPr>
            <w:r>
              <w:t>The substitute revise</w:t>
            </w:r>
            <w:r w:rsidR="00EF31E2">
              <w:t xml:space="preserve">s </w:t>
            </w:r>
            <w:r>
              <w:t xml:space="preserve">the </w:t>
            </w:r>
            <w:r w:rsidR="00EF31E2">
              <w:t xml:space="preserve">provision </w:t>
            </w:r>
            <w:r w:rsidR="0025302F">
              <w:t>it shares with</w:t>
            </w:r>
            <w:r w:rsidR="00EF31E2">
              <w:t xml:space="preserve"> the introduced </w:t>
            </w:r>
            <w:r>
              <w:t xml:space="preserve">authorizing ERCOT to </w:t>
            </w:r>
            <w:r w:rsidR="00EF31E2" w:rsidRPr="00EF31E2">
              <w:t>requir</w:t>
            </w:r>
            <w:r>
              <w:t>e</w:t>
            </w:r>
            <w:r w:rsidR="00EF31E2" w:rsidRPr="00EF31E2">
              <w:t xml:space="preserve"> an owner or operator of </w:t>
            </w:r>
            <w:r>
              <w:t>a</w:t>
            </w:r>
            <w:r w:rsidR="0025302F">
              <w:t>n applicable</w:t>
            </w:r>
            <w:r>
              <w:t xml:space="preserve"> </w:t>
            </w:r>
            <w:r w:rsidR="00EF31E2" w:rsidRPr="00EF31E2">
              <w:t>distributed generation</w:t>
            </w:r>
            <w:r>
              <w:t xml:space="preserve"> facility operating in the ERCOT power region to provide information about the distribution generation facility to the interconnecting electric cooperative, municipally owned utility, or TDU</w:t>
            </w:r>
            <w:r w:rsidR="00EF31E2" w:rsidRPr="00EF31E2">
              <w:t xml:space="preserve"> </w:t>
            </w:r>
            <w:r>
              <w:t>as follows:</w:t>
            </w:r>
          </w:p>
          <w:p w14:paraId="6C46C971" w14:textId="73063BBB" w:rsidR="009F03EE" w:rsidRDefault="00AD744D" w:rsidP="006F24AB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</w:pPr>
            <w:r>
              <w:t>includes</w:t>
            </w:r>
            <w:r>
              <w:t xml:space="preserve"> a specification absent from the introduced that the manner in which ERCOT may implement such a requirement is through the establishment of protocols;</w:t>
            </w:r>
          </w:p>
          <w:p w14:paraId="2209CD10" w14:textId="2B552576" w:rsidR="009F03EE" w:rsidRDefault="00AD744D" w:rsidP="006F24AB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</w:pPr>
            <w:r>
              <w:t>expands the scope of the provisions to allow ERCOT also to subject any owner or operator of a distributed</w:t>
            </w:r>
            <w:r>
              <w:t xml:space="preserve"> generation facility seeking to interconnect the facility to provide information;</w:t>
            </w:r>
            <w:r w:rsidR="00E12B83">
              <w:t xml:space="preserve"> and</w:t>
            </w:r>
          </w:p>
          <w:p w14:paraId="3C6E732F" w14:textId="5C32847E" w:rsidR="001A1E4C" w:rsidRDefault="00AD744D" w:rsidP="006F24AB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</w:pPr>
            <w:r>
              <w:t>replaces the specification</w:t>
            </w:r>
            <w:r w:rsidR="00596E0B">
              <w:t xml:space="preserve"> in the introduced</w:t>
            </w:r>
            <w:r>
              <w:t xml:space="preserve"> that the information to be submitted is that which is specified by ERCOT with a specification that the information to be subm</w:t>
            </w:r>
            <w:r>
              <w:t>itted is that which ERCOT determines is necessary for maintaining system reliability</w:t>
            </w:r>
            <w:r w:rsidR="00E70A3F">
              <w:t>.</w:t>
            </w:r>
          </w:p>
          <w:p w14:paraId="4A3533EE" w14:textId="370A6149" w:rsidR="003057C0" w:rsidRDefault="00AD744D" w:rsidP="006F24AB">
            <w:pPr>
              <w:jc w:val="both"/>
            </w:pPr>
            <w:r>
              <w:t>The substitute includes provision</w:t>
            </w:r>
            <w:r w:rsidR="007F3155">
              <w:t>s</w:t>
            </w:r>
            <w:r>
              <w:t xml:space="preserve"> not in the introduced that authorize </w:t>
            </w:r>
            <w:r w:rsidR="001A1E4C">
              <w:t xml:space="preserve">those </w:t>
            </w:r>
            <w:r w:rsidR="00E12B83">
              <w:t xml:space="preserve">established </w:t>
            </w:r>
            <w:r>
              <w:t xml:space="preserve">protocols to require the information to be provided as a condition </w:t>
            </w:r>
            <w:r w:rsidR="001A1E4C">
              <w:t xml:space="preserve">of </w:t>
            </w:r>
            <w:r>
              <w:t>interconne</w:t>
            </w:r>
            <w:r>
              <w:t>cti</w:t>
            </w:r>
            <w:r w:rsidR="001A1E4C">
              <w:t>o</w:t>
            </w:r>
            <w:r>
              <w:t>n</w:t>
            </w:r>
            <w:r w:rsidR="007F3155">
              <w:t xml:space="preserve"> for any facility interconnected on or after September 1, 2023</w:t>
            </w:r>
            <w:r w:rsidR="00B865F4">
              <w:t>,</w:t>
            </w:r>
            <w:r w:rsidR="00AC3C00">
              <w:t xml:space="preserve"> and </w:t>
            </w:r>
            <w:r w:rsidR="00E12B83">
              <w:t>does not include</w:t>
            </w:r>
            <w:r w:rsidR="00AC3C00">
              <w:t xml:space="preserve"> the provision </w:t>
            </w:r>
            <w:r w:rsidR="00E12B83">
              <w:t>from the introduced that authorized</w:t>
            </w:r>
            <w:r w:rsidR="00AC3C00">
              <w:t xml:space="preserve"> ERCOT to require information be provided on either an individual basis or on an aggregated basis</w:t>
            </w:r>
            <w:r w:rsidR="001A1E4C">
              <w:t>.</w:t>
            </w:r>
            <w:r>
              <w:t xml:space="preserve"> </w:t>
            </w:r>
            <w:r w:rsidR="00F079A4">
              <w:t xml:space="preserve">The substitute </w:t>
            </w:r>
            <w:r w:rsidR="00FF5335">
              <w:t>does not include</w:t>
            </w:r>
            <w:r w:rsidR="00F079A4">
              <w:t xml:space="preserve"> </w:t>
            </w:r>
            <w:r w:rsidR="00AC3C00">
              <w:t>the</w:t>
            </w:r>
            <w:r w:rsidR="00F079A4">
              <w:t xml:space="preserve"> provision present in the introduced</w:t>
            </w:r>
            <w:r w:rsidR="00FF5335">
              <w:t xml:space="preserve"> that</w:t>
            </w:r>
            <w:r w:rsidR="00F079A4">
              <w:t xml:space="preserve"> also authoriz</w:t>
            </w:r>
            <w:r w:rsidR="00FF5335">
              <w:t>ed</w:t>
            </w:r>
            <w:r w:rsidR="00F079A4">
              <w:t xml:space="preserve"> the Public Utility Commission of Texas (PUC) to require an owner or operator or an electric cooperative, municipally owned utility, or TDU to provide such information.</w:t>
            </w:r>
          </w:p>
          <w:p w14:paraId="48AAC466" w14:textId="77777777" w:rsidR="00DD1B87" w:rsidRDefault="00DD1B87" w:rsidP="006F24AB">
            <w:pPr>
              <w:jc w:val="both"/>
            </w:pPr>
          </w:p>
          <w:p w14:paraId="310410AE" w14:textId="1BFC934A" w:rsidR="001A1E4C" w:rsidRDefault="00AD744D" w:rsidP="006F24AB">
            <w:pPr>
              <w:jc w:val="both"/>
            </w:pPr>
            <w:r>
              <w:t xml:space="preserve">The </w:t>
            </w:r>
            <w:r w:rsidR="00DD1B87">
              <w:t xml:space="preserve">introduced </w:t>
            </w:r>
            <w:r w:rsidR="00793F33">
              <w:t>authorized</w:t>
            </w:r>
            <w:r w:rsidR="00DD1B87">
              <w:t xml:space="preserve"> ERCOT to require each </w:t>
            </w:r>
            <w:r>
              <w:t>electric cooperative, municipally owned ut</w:t>
            </w:r>
            <w:r>
              <w:t xml:space="preserve">ility, and TDU </w:t>
            </w:r>
            <w:r w:rsidR="00DD1B87">
              <w:t>operating in the</w:t>
            </w:r>
            <w:r>
              <w:t xml:space="preserve"> ERCOT power</w:t>
            </w:r>
            <w:r w:rsidR="00DD1B87">
              <w:t xml:space="preserve"> region to provide </w:t>
            </w:r>
            <w:r>
              <w:t xml:space="preserve">to ERCOT </w:t>
            </w:r>
            <w:r w:rsidR="00DD1B87">
              <w:t>any information about distributed generation facilities and distribution-connected l</w:t>
            </w:r>
            <w:r w:rsidR="00FF5335">
              <w:t>o</w:t>
            </w:r>
            <w:r w:rsidR="00DD1B87">
              <w:t xml:space="preserve">ads in the </w:t>
            </w:r>
            <w:r>
              <w:t xml:space="preserve">entity's </w:t>
            </w:r>
            <w:r w:rsidR="00DD1B87">
              <w:t>service territory that ERCOT identifies as necessary for</w:t>
            </w:r>
            <w:r>
              <w:t xml:space="preserve"> maintaining</w:t>
            </w:r>
            <w:r w:rsidR="00DD1B87">
              <w:t xml:space="preserve"> system reliability</w:t>
            </w:r>
            <w:r w:rsidR="00FF5335">
              <w:t>. The substitute</w:t>
            </w:r>
            <w:r w:rsidR="00793F33">
              <w:t xml:space="preserve"> </w:t>
            </w:r>
            <w:r w:rsidR="00FC57E8">
              <w:t xml:space="preserve">includes but </w:t>
            </w:r>
            <w:r w:rsidR="00793F33">
              <w:t>revises that provision to</w:t>
            </w:r>
            <w:r w:rsidR="00FF5335">
              <w:t xml:space="preserve">, </w:t>
            </w:r>
            <w:r>
              <w:t>as follows:</w:t>
            </w:r>
            <w:r w:rsidR="000D0D0C">
              <w:t xml:space="preserve"> </w:t>
            </w:r>
          </w:p>
          <w:p w14:paraId="7696F142" w14:textId="4B5B581C" w:rsidR="00F079A4" w:rsidRDefault="00AD744D" w:rsidP="006F24AB">
            <w:pPr>
              <w:pStyle w:val="ListParagraph"/>
              <w:numPr>
                <w:ilvl w:val="0"/>
                <w:numId w:val="3"/>
              </w:numPr>
              <w:contextualSpacing w:val="0"/>
              <w:jc w:val="both"/>
            </w:pPr>
            <w:r>
              <w:t>include a specification absent from the introduced that the manner in which</w:t>
            </w:r>
            <w:r w:rsidR="000D0D0C">
              <w:t xml:space="preserve"> ERCOT </w:t>
            </w:r>
            <w:r>
              <w:t>may implement such a requirement is through the</w:t>
            </w:r>
            <w:r w:rsidR="000D0D0C">
              <w:t xml:space="preserve"> establish</w:t>
            </w:r>
            <w:r>
              <w:t>ment of</w:t>
            </w:r>
            <w:r w:rsidR="000D0D0C">
              <w:t xml:space="preserve"> protocols</w:t>
            </w:r>
            <w:r>
              <w:t>;</w:t>
            </w:r>
          </w:p>
          <w:p w14:paraId="7C0E212C" w14:textId="3DECD3C6" w:rsidR="001A1E4C" w:rsidRDefault="00AD744D" w:rsidP="006F24AB">
            <w:pPr>
              <w:pStyle w:val="ListParagraph"/>
              <w:numPr>
                <w:ilvl w:val="0"/>
                <w:numId w:val="3"/>
              </w:numPr>
              <w:contextualSpacing w:val="0"/>
              <w:jc w:val="both"/>
            </w:pPr>
            <w:r>
              <w:t>replace</w:t>
            </w:r>
            <w:r w:rsidR="00793F33">
              <w:t xml:space="preserve"> </w:t>
            </w:r>
            <w:r>
              <w:t>the reference</w:t>
            </w:r>
            <w:r>
              <w:t xml:space="preserve"> to electric cooperative, municipally owned utility, and TDU with a reference to "transmission service provider," which the substitute defines as an electric cooperative, municipally owned utility, or TDU that owns or operates facilities used for the trans</w:t>
            </w:r>
            <w:r>
              <w:t>mission of electricity;</w:t>
            </w:r>
            <w:r w:rsidR="00AC3C00">
              <w:t xml:space="preserve"> and</w:t>
            </w:r>
          </w:p>
          <w:p w14:paraId="2989CE53" w14:textId="0BAA9F07" w:rsidR="00DD1B87" w:rsidRDefault="00AD744D" w:rsidP="006F24AB">
            <w:pPr>
              <w:pStyle w:val="ListParagraph"/>
              <w:numPr>
                <w:ilvl w:val="0"/>
                <w:numId w:val="3"/>
              </w:numPr>
              <w:contextualSpacing w:val="0"/>
              <w:jc w:val="both"/>
            </w:pPr>
            <w:r>
              <w:t xml:space="preserve">narrow the </w:t>
            </w:r>
            <w:r w:rsidR="00F079A4">
              <w:t>information that may be required to only that which ERCOT determines</w:t>
            </w:r>
            <w:r w:rsidR="000D0D0C">
              <w:t xml:space="preserve"> is necessary for </w:t>
            </w:r>
            <w:r w:rsidR="00F079A4">
              <w:t xml:space="preserve">maintaining </w:t>
            </w:r>
            <w:r w:rsidR="000D0D0C">
              <w:t>system reliability maintenance regarding facilities and distribution-connected loads</w:t>
            </w:r>
            <w:r w:rsidR="00F079A4">
              <w:t xml:space="preserve"> that are not registered with ERCOT and that are connected to the utility systems served by the transmission service provider</w:t>
            </w:r>
            <w:r w:rsidR="00AC3C00">
              <w:t>.</w:t>
            </w:r>
          </w:p>
          <w:p w14:paraId="594D458B" w14:textId="0786ADCE" w:rsidR="00B13430" w:rsidRDefault="00AD744D" w:rsidP="006F24AB">
            <w:pPr>
              <w:jc w:val="both"/>
            </w:pPr>
            <w:r>
              <w:t xml:space="preserve">The substitute </w:t>
            </w:r>
            <w:r w:rsidR="00517B65">
              <w:t>does not include</w:t>
            </w:r>
            <w:r w:rsidR="00FC57E8">
              <w:t xml:space="preserve"> the</w:t>
            </w:r>
            <w:r>
              <w:t xml:space="preserve"> provision </w:t>
            </w:r>
            <w:r w:rsidR="00517B65">
              <w:t>from</w:t>
            </w:r>
            <w:r>
              <w:t xml:space="preserve"> the introduced </w:t>
            </w:r>
            <w:r w:rsidR="00517B65">
              <w:t>that authorized</w:t>
            </w:r>
            <w:r>
              <w:t xml:space="preserve"> ERCOT to require information to be provided eit</w:t>
            </w:r>
            <w:r>
              <w:t>her on an individual basis or on an aggregated basis</w:t>
            </w:r>
            <w:r w:rsidR="00517B65">
              <w:t xml:space="preserve"> but the substitute instead includes</w:t>
            </w:r>
            <w:r>
              <w:t xml:space="preserve"> a provision requiring the information provided to be in the aggregate by delivery point. The substitute </w:t>
            </w:r>
            <w:r w:rsidR="00793F33">
              <w:t>does not include</w:t>
            </w:r>
            <w:r>
              <w:t xml:space="preserve"> the provision present in the introduced </w:t>
            </w:r>
            <w:r w:rsidR="00883F1E">
              <w:t xml:space="preserve">that </w:t>
            </w:r>
            <w:r>
              <w:t>a</w:t>
            </w:r>
            <w:r>
              <w:t xml:space="preserve">lso </w:t>
            </w:r>
            <w:r w:rsidR="000D0D0C">
              <w:t>authoriz</w:t>
            </w:r>
            <w:r w:rsidR="00883F1E">
              <w:t>ed</w:t>
            </w:r>
            <w:r w:rsidR="000D0D0C">
              <w:t xml:space="preserve"> the </w:t>
            </w:r>
            <w:r>
              <w:t>PUC</w:t>
            </w:r>
            <w:r w:rsidR="000D0D0C">
              <w:t xml:space="preserve"> </w:t>
            </w:r>
            <w:r>
              <w:t>to require an owner or operator of a distributed generation facility or an electric cooperative, municipally owned utility</w:t>
            </w:r>
            <w:r w:rsidR="00517B65">
              <w:t>,</w:t>
            </w:r>
            <w:r>
              <w:t xml:space="preserve"> or TDU to provide such information. </w:t>
            </w:r>
          </w:p>
          <w:p w14:paraId="1DF9530F" w14:textId="77777777" w:rsidR="00B13430" w:rsidRDefault="00B13430" w:rsidP="006F24AB">
            <w:pPr>
              <w:jc w:val="both"/>
            </w:pPr>
          </w:p>
          <w:p w14:paraId="0C33B67C" w14:textId="54C65CA0" w:rsidR="00E70CE6" w:rsidRDefault="00AD744D" w:rsidP="006F24AB">
            <w:pPr>
              <w:jc w:val="both"/>
            </w:pPr>
            <w:r>
              <w:t xml:space="preserve">The substitute includes a provision </w:t>
            </w:r>
            <w:r w:rsidR="00FC57E8">
              <w:t xml:space="preserve">not in the introduced </w:t>
            </w:r>
            <w:r>
              <w:t>authorizing E</w:t>
            </w:r>
            <w:r>
              <w:t xml:space="preserve">RCOT to establish protocols </w:t>
            </w:r>
            <w:r w:rsidRPr="00E70CE6">
              <w:t>to require a municipally owned utility, electric cooperative</w:t>
            </w:r>
            <w:r>
              <w:t xml:space="preserve">, or TDU </w:t>
            </w:r>
            <w:r w:rsidRPr="00E70CE6">
              <w:t xml:space="preserve">that is not required to report load information directly to </w:t>
            </w:r>
            <w:r>
              <w:t>ERCOT</w:t>
            </w:r>
            <w:r w:rsidRPr="00E70CE6">
              <w:t xml:space="preserve"> regarding</w:t>
            </w:r>
            <w:r w:rsidRPr="00E70CE6">
              <w:t xml:space="preserve"> the delivery points interconnected with its facilities to provide information to the utility's or cooperative's transmission service provider for purposes of the report</w:t>
            </w:r>
            <w:r>
              <w:t xml:space="preserve"> provided for under the bill.</w:t>
            </w:r>
          </w:p>
          <w:p w14:paraId="03F0D0C6" w14:textId="77777777" w:rsidR="00E70CE6" w:rsidRDefault="00E70CE6" w:rsidP="006F24AB">
            <w:pPr>
              <w:jc w:val="both"/>
            </w:pPr>
          </w:p>
          <w:p w14:paraId="564CC88A" w14:textId="3E608943" w:rsidR="00B13430" w:rsidRDefault="00AD744D" w:rsidP="006F24AB">
            <w:pPr>
              <w:jc w:val="both"/>
            </w:pPr>
            <w:r>
              <w:t xml:space="preserve">The substitute includes </w:t>
            </w:r>
            <w:r w:rsidR="00E70CE6">
              <w:t xml:space="preserve">a </w:t>
            </w:r>
            <w:r>
              <w:t>provision not in the introduce</w:t>
            </w:r>
            <w:r>
              <w:t xml:space="preserve">d </w:t>
            </w:r>
            <w:r w:rsidR="00E70CE6">
              <w:t>establishing that, with respect to</w:t>
            </w:r>
            <w:r>
              <w:t xml:space="preserve"> a distributed generation facilit</w:t>
            </w:r>
            <w:r w:rsidR="00E70CE6">
              <w:t>y</w:t>
            </w:r>
            <w:r>
              <w:t xml:space="preserve"> that </w:t>
            </w:r>
            <w:r w:rsidR="00E70CE6">
              <w:t>is</w:t>
            </w:r>
            <w:r>
              <w:t xml:space="preserve"> interconnected before September 1, 2023</w:t>
            </w:r>
            <w:r w:rsidR="00E70CE6">
              <w:t xml:space="preserve">, </w:t>
            </w:r>
            <w:r w:rsidR="00E70CE6" w:rsidRPr="00E70CE6">
              <w:t>any protocols ERCOT establishes under the bill applicable to a municipally owned utility, electric cooperative, or TDU</w:t>
            </w:r>
            <w:r w:rsidR="00B15E1A">
              <w:t xml:space="preserve"> </w:t>
            </w:r>
            <w:r w:rsidR="00E70CE6">
              <w:t xml:space="preserve">may </w:t>
            </w:r>
            <w:r w:rsidR="00B15E1A">
              <w:t xml:space="preserve">require a </w:t>
            </w:r>
            <w:r w:rsidR="00E70CE6">
              <w:t xml:space="preserve">municipally owned </w:t>
            </w:r>
            <w:r w:rsidR="00B15E1A">
              <w:t>utility</w:t>
            </w:r>
            <w:r w:rsidR="00E70CE6">
              <w:t>,</w:t>
            </w:r>
            <w:r w:rsidR="00B15E1A">
              <w:t xml:space="preserve"> </w:t>
            </w:r>
            <w:r w:rsidR="00E70CE6">
              <w:t xml:space="preserve">electric </w:t>
            </w:r>
            <w:r w:rsidR="00B15E1A">
              <w:t>cooperative</w:t>
            </w:r>
            <w:r w:rsidR="00E70CE6">
              <w:t>, or TDU</w:t>
            </w:r>
            <w:r w:rsidR="00B15E1A">
              <w:t xml:space="preserve"> to request information about the facility from the owner or operator and</w:t>
            </w:r>
            <w:r w:rsidR="00E70CE6">
              <w:t>,</w:t>
            </w:r>
            <w:r w:rsidR="00B15E1A">
              <w:t xml:space="preserve"> in the absence of any timely response</w:t>
            </w:r>
            <w:r w:rsidR="00E70CE6">
              <w:t>, or if the information reasonably appears to be incorrect,</w:t>
            </w:r>
            <w:r w:rsidR="00B15E1A">
              <w:t xml:space="preserve"> to </w:t>
            </w:r>
            <w:r w:rsidR="007F3155">
              <w:t>provide to its transmission service provide</w:t>
            </w:r>
            <w:r w:rsidR="00FC57E8">
              <w:t>r</w:t>
            </w:r>
            <w:r w:rsidR="007F3155">
              <w:t xml:space="preserve"> a good-faith estimate of the </w:t>
            </w:r>
            <w:r w:rsidR="00B15E1A">
              <w:t xml:space="preserve">information </w:t>
            </w:r>
            <w:r w:rsidR="007F3155">
              <w:t>based on field observation or other data using reasonable engineering judgment</w:t>
            </w:r>
            <w:r w:rsidR="00B15E1A">
              <w:t>.</w:t>
            </w:r>
          </w:p>
          <w:p w14:paraId="2F1CC0C0" w14:textId="7D1B4ECD" w:rsidR="00B15E1A" w:rsidRDefault="00B15E1A" w:rsidP="006F24AB">
            <w:pPr>
              <w:jc w:val="both"/>
            </w:pPr>
          </w:p>
          <w:p w14:paraId="600E6317" w14:textId="536516E5" w:rsidR="00B15E1A" w:rsidRPr="00141FCC" w:rsidRDefault="00AD744D" w:rsidP="006F24AB">
            <w:pPr>
              <w:jc w:val="both"/>
            </w:pPr>
            <w:r>
              <w:t xml:space="preserve">The substitute includes </w:t>
            </w:r>
            <w:r w:rsidR="007F3155">
              <w:t xml:space="preserve">a </w:t>
            </w:r>
            <w:r>
              <w:t>provision not in the introduced authoriz</w:t>
            </w:r>
            <w:r w:rsidR="007F3155">
              <w:t>ing</w:t>
            </w:r>
            <w:r>
              <w:t xml:space="preserve"> </w:t>
            </w:r>
            <w:r w:rsidR="007F3155">
              <w:t xml:space="preserve">a municipally owned </w:t>
            </w:r>
            <w:r>
              <w:t>utility</w:t>
            </w:r>
            <w:r w:rsidR="007F3155">
              <w:t>, electric</w:t>
            </w:r>
            <w:r>
              <w:t xml:space="preserve"> cooperativ</w:t>
            </w:r>
            <w:r>
              <w:t>e</w:t>
            </w:r>
            <w:r w:rsidR="007F3155">
              <w:t>, or TDU,</w:t>
            </w:r>
            <w:r>
              <w:t xml:space="preserve"> in fulfilling any reporting obligation</w:t>
            </w:r>
            <w:r w:rsidR="007F3155">
              <w:t>,</w:t>
            </w:r>
            <w:r>
              <w:t xml:space="preserve"> to rely on any existing record regarding the required information if the entit</w:t>
            </w:r>
            <w:r w:rsidR="007F3155">
              <w:t>y</w:t>
            </w:r>
            <w:r>
              <w:t xml:space="preserve"> reasonably believe</w:t>
            </w:r>
            <w:r w:rsidR="007F3155">
              <w:t>s</w:t>
            </w:r>
            <w:r>
              <w:t xml:space="preserve"> the information is accurate. </w:t>
            </w:r>
          </w:p>
        </w:tc>
      </w:tr>
      <w:tr w:rsidR="0082795D" w14:paraId="181B869A" w14:textId="77777777" w:rsidTr="00345119">
        <w:tc>
          <w:tcPr>
            <w:tcW w:w="9576" w:type="dxa"/>
          </w:tcPr>
          <w:p w14:paraId="099444AE" w14:textId="77777777" w:rsidR="00F70672" w:rsidRPr="009C1E9A" w:rsidRDefault="00F70672" w:rsidP="006F24AB">
            <w:pPr>
              <w:rPr>
                <w:b/>
                <w:u w:val="single"/>
              </w:rPr>
            </w:pPr>
          </w:p>
        </w:tc>
      </w:tr>
      <w:tr w:rsidR="0082795D" w14:paraId="3205F147" w14:textId="77777777" w:rsidTr="00345119">
        <w:tc>
          <w:tcPr>
            <w:tcW w:w="9576" w:type="dxa"/>
          </w:tcPr>
          <w:p w14:paraId="040795AE" w14:textId="77777777" w:rsidR="00F70672" w:rsidRPr="00F70672" w:rsidRDefault="00F70672" w:rsidP="006F24AB">
            <w:pPr>
              <w:jc w:val="both"/>
            </w:pPr>
          </w:p>
        </w:tc>
      </w:tr>
    </w:tbl>
    <w:p w14:paraId="1619ABD8" w14:textId="77777777" w:rsidR="008423E4" w:rsidRPr="00BE0E75" w:rsidRDefault="008423E4" w:rsidP="006F24AB">
      <w:pPr>
        <w:jc w:val="both"/>
        <w:rPr>
          <w:rFonts w:ascii="Arial" w:hAnsi="Arial"/>
          <w:sz w:val="16"/>
          <w:szCs w:val="16"/>
        </w:rPr>
      </w:pPr>
    </w:p>
    <w:p w14:paraId="71E232D1" w14:textId="77777777" w:rsidR="004108C3" w:rsidRPr="008423E4" w:rsidRDefault="004108C3" w:rsidP="006F24AB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A7473" w14:textId="77777777" w:rsidR="00000000" w:rsidRDefault="00AD744D">
      <w:r>
        <w:separator/>
      </w:r>
    </w:p>
  </w:endnote>
  <w:endnote w:type="continuationSeparator" w:id="0">
    <w:p w14:paraId="20676DAE" w14:textId="77777777" w:rsidR="00000000" w:rsidRDefault="00AD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2FE94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82795D" w14:paraId="25B923F9" w14:textId="77777777" w:rsidTr="009C1E9A">
      <w:trPr>
        <w:cantSplit/>
      </w:trPr>
      <w:tc>
        <w:tcPr>
          <w:tcW w:w="0" w:type="pct"/>
        </w:tcPr>
        <w:p w14:paraId="39DFDC68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5C174C7C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04DE0E90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55E151CC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400BF4BF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82795D" w14:paraId="70033842" w14:textId="77777777" w:rsidTr="009C1E9A">
      <w:trPr>
        <w:cantSplit/>
      </w:trPr>
      <w:tc>
        <w:tcPr>
          <w:tcW w:w="0" w:type="pct"/>
        </w:tcPr>
        <w:p w14:paraId="4AA5C01A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53C78B92" w14:textId="06A91F28" w:rsidR="00EC379B" w:rsidRPr="009C1E9A" w:rsidRDefault="00AD744D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25680-D</w:t>
          </w:r>
        </w:p>
      </w:tc>
      <w:tc>
        <w:tcPr>
          <w:tcW w:w="2453" w:type="pct"/>
        </w:tcPr>
        <w:p w14:paraId="29424FFC" w14:textId="1911BCBB" w:rsidR="00EC379B" w:rsidRDefault="00AD744D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D25F85">
            <w:t>23.114.2312</w:t>
          </w:r>
          <w:r>
            <w:fldChar w:fldCharType="end"/>
          </w:r>
        </w:p>
      </w:tc>
    </w:tr>
    <w:tr w:rsidR="0082795D" w14:paraId="3525AC87" w14:textId="77777777" w:rsidTr="009C1E9A">
      <w:trPr>
        <w:cantSplit/>
      </w:trPr>
      <w:tc>
        <w:tcPr>
          <w:tcW w:w="0" w:type="pct"/>
        </w:tcPr>
        <w:p w14:paraId="46922148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6F1390CF" w14:textId="76CF4BFB" w:rsidR="00EC379B" w:rsidRPr="009C1E9A" w:rsidRDefault="00AD744D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88R 23240</w:t>
          </w:r>
        </w:p>
      </w:tc>
      <w:tc>
        <w:tcPr>
          <w:tcW w:w="2453" w:type="pct"/>
        </w:tcPr>
        <w:p w14:paraId="5CA7443E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17F1DFDC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82795D" w14:paraId="03C77E87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015873F7" w14:textId="77777777" w:rsidR="00EC379B" w:rsidRDefault="00AD744D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396571B2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174DBD37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7C916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A1252" w14:textId="77777777" w:rsidR="00000000" w:rsidRDefault="00AD744D">
      <w:r>
        <w:separator/>
      </w:r>
    </w:p>
  </w:footnote>
  <w:footnote w:type="continuationSeparator" w:id="0">
    <w:p w14:paraId="4810B3CD" w14:textId="77777777" w:rsidR="00000000" w:rsidRDefault="00AD7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FAB0C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F3AFD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0759E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707EC"/>
    <w:multiLevelType w:val="hybridMultilevel"/>
    <w:tmpl w:val="53FA2DC0"/>
    <w:lvl w:ilvl="0" w:tplc="1068B1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87F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B6AF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A2DE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C62E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7612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A26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A22C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E686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66DA8"/>
    <w:multiLevelType w:val="hybridMultilevel"/>
    <w:tmpl w:val="22DE0DB6"/>
    <w:lvl w:ilvl="0" w:tplc="3A3EE3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42A7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F41C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5A59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7A7A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E0D1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46EB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8066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F468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B2A44"/>
    <w:multiLevelType w:val="hybridMultilevel"/>
    <w:tmpl w:val="3A986386"/>
    <w:lvl w:ilvl="0" w:tplc="56D6D4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240E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0AB6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98DE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A0A4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B0AC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6A81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16B5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6EAC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6FE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3697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85031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0D0C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2818"/>
    <w:rsid w:val="0012371B"/>
    <w:rsid w:val="001245C8"/>
    <w:rsid w:val="00124653"/>
    <w:rsid w:val="001247C5"/>
    <w:rsid w:val="00127893"/>
    <w:rsid w:val="001312BB"/>
    <w:rsid w:val="00137D90"/>
    <w:rsid w:val="00141FB6"/>
    <w:rsid w:val="00141FCC"/>
    <w:rsid w:val="00142F8E"/>
    <w:rsid w:val="00143C8B"/>
    <w:rsid w:val="00146EAA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87F2A"/>
    <w:rsid w:val="001908AC"/>
    <w:rsid w:val="00190CFB"/>
    <w:rsid w:val="0019457A"/>
    <w:rsid w:val="001951E6"/>
    <w:rsid w:val="00195257"/>
    <w:rsid w:val="00195388"/>
    <w:rsid w:val="0019539E"/>
    <w:rsid w:val="001968BC"/>
    <w:rsid w:val="001A0739"/>
    <w:rsid w:val="001A0F00"/>
    <w:rsid w:val="001A1E4C"/>
    <w:rsid w:val="001A2BDD"/>
    <w:rsid w:val="001A3DDF"/>
    <w:rsid w:val="001A4310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4FCF"/>
    <w:rsid w:val="0023507D"/>
    <w:rsid w:val="002353DC"/>
    <w:rsid w:val="0024077A"/>
    <w:rsid w:val="00241EC1"/>
    <w:rsid w:val="002431DA"/>
    <w:rsid w:val="0024691D"/>
    <w:rsid w:val="00247D27"/>
    <w:rsid w:val="00250A50"/>
    <w:rsid w:val="00251ED5"/>
    <w:rsid w:val="0025302F"/>
    <w:rsid w:val="00254476"/>
    <w:rsid w:val="00255EB6"/>
    <w:rsid w:val="00257429"/>
    <w:rsid w:val="00260FA4"/>
    <w:rsid w:val="00261183"/>
    <w:rsid w:val="00262A66"/>
    <w:rsid w:val="00263140"/>
    <w:rsid w:val="002631C8"/>
    <w:rsid w:val="00263851"/>
    <w:rsid w:val="00263BF8"/>
    <w:rsid w:val="00265133"/>
    <w:rsid w:val="00265A23"/>
    <w:rsid w:val="00266E6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4C6"/>
    <w:rsid w:val="002F795D"/>
    <w:rsid w:val="00300823"/>
    <w:rsid w:val="00300D7F"/>
    <w:rsid w:val="00301638"/>
    <w:rsid w:val="00303B0C"/>
    <w:rsid w:val="0030459C"/>
    <w:rsid w:val="003057C0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15C3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959DD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40C"/>
    <w:rsid w:val="003F1F5E"/>
    <w:rsid w:val="003F286A"/>
    <w:rsid w:val="003F77F8"/>
    <w:rsid w:val="00400ACD"/>
    <w:rsid w:val="00403B15"/>
    <w:rsid w:val="00403E8A"/>
    <w:rsid w:val="00407EF6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22B0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37ED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4386"/>
    <w:rsid w:val="004D4494"/>
    <w:rsid w:val="004D5098"/>
    <w:rsid w:val="004D6497"/>
    <w:rsid w:val="004E0E60"/>
    <w:rsid w:val="004E12A3"/>
    <w:rsid w:val="004E170A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17B65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95C1A"/>
    <w:rsid w:val="00596E0B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6CCD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64E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4D0C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A07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24AB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47605"/>
    <w:rsid w:val="007509BE"/>
    <w:rsid w:val="0075287B"/>
    <w:rsid w:val="00755C7B"/>
    <w:rsid w:val="00764786"/>
    <w:rsid w:val="00766E12"/>
    <w:rsid w:val="0077098E"/>
    <w:rsid w:val="00771287"/>
    <w:rsid w:val="0077149E"/>
    <w:rsid w:val="0077680B"/>
    <w:rsid w:val="00777518"/>
    <w:rsid w:val="0077779E"/>
    <w:rsid w:val="00780FB6"/>
    <w:rsid w:val="0078552A"/>
    <w:rsid w:val="00785729"/>
    <w:rsid w:val="00786058"/>
    <w:rsid w:val="00793F33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155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2B3F"/>
    <w:rsid w:val="00823E4C"/>
    <w:rsid w:val="00827749"/>
    <w:rsid w:val="0082795D"/>
    <w:rsid w:val="00827B7E"/>
    <w:rsid w:val="00830EEB"/>
    <w:rsid w:val="008347A9"/>
    <w:rsid w:val="00835628"/>
    <w:rsid w:val="00835E90"/>
    <w:rsid w:val="0084176D"/>
    <w:rsid w:val="008423E4"/>
    <w:rsid w:val="0084243D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3F1E"/>
    <w:rsid w:val="008845BA"/>
    <w:rsid w:val="00884AE3"/>
    <w:rsid w:val="00885203"/>
    <w:rsid w:val="008859CA"/>
    <w:rsid w:val="008861EE"/>
    <w:rsid w:val="00887EB7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C4B70"/>
    <w:rsid w:val="008D27A5"/>
    <w:rsid w:val="008D2AAB"/>
    <w:rsid w:val="008D309C"/>
    <w:rsid w:val="008D58F9"/>
    <w:rsid w:val="008D7427"/>
    <w:rsid w:val="008E3338"/>
    <w:rsid w:val="008E47BE"/>
    <w:rsid w:val="008F0970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3AA"/>
    <w:rsid w:val="009329FB"/>
    <w:rsid w:val="00932C77"/>
    <w:rsid w:val="0093395D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05B"/>
    <w:rsid w:val="0098285C"/>
    <w:rsid w:val="00983B56"/>
    <w:rsid w:val="009847FD"/>
    <w:rsid w:val="009851B3"/>
    <w:rsid w:val="00985300"/>
    <w:rsid w:val="00986720"/>
    <w:rsid w:val="009874F1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86A"/>
    <w:rsid w:val="009E7AEB"/>
    <w:rsid w:val="009F03EE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03B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878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4D59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142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85425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1FE4"/>
    <w:rsid w:val="00AB2C05"/>
    <w:rsid w:val="00AB3536"/>
    <w:rsid w:val="00AB474B"/>
    <w:rsid w:val="00AB5CCC"/>
    <w:rsid w:val="00AB74E2"/>
    <w:rsid w:val="00AC2E9A"/>
    <w:rsid w:val="00AC3C00"/>
    <w:rsid w:val="00AC5AAB"/>
    <w:rsid w:val="00AC5AEC"/>
    <w:rsid w:val="00AC5F28"/>
    <w:rsid w:val="00AC6900"/>
    <w:rsid w:val="00AD304B"/>
    <w:rsid w:val="00AD4497"/>
    <w:rsid w:val="00AD744D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3430"/>
    <w:rsid w:val="00B149AC"/>
    <w:rsid w:val="00B14BD2"/>
    <w:rsid w:val="00B1557F"/>
    <w:rsid w:val="00B15E1A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42381"/>
    <w:rsid w:val="00B43672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865F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BF576E"/>
    <w:rsid w:val="00C013F4"/>
    <w:rsid w:val="00C040AB"/>
    <w:rsid w:val="00C0499B"/>
    <w:rsid w:val="00C05406"/>
    <w:rsid w:val="00C05CF0"/>
    <w:rsid w:val="00C0712C"/>
    <w:rsid w:val="00C119AC"/>
    <w:rsid w:val="00C14EE6"/>
    <w:rsid w:val="00C151DA"/>
    <w:rsid w:val="00C152A1"/>
    <w:rsid w:val="00C16CCB"/>
    <w:rsid w:val="00C17566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47CBA"/>
    <w:rsid w:val="00C50CAD"/>
    <w:rsid w:val="00C57933"/>
    <w:rsid w:val="00C60206"/>
    <w:rsid w:val="00C615D4"/>
    <w:rsid w:val="00C61B5D"/>
    <w:rsid w:val="00C61C0E"/>
    <w:rsid w:val="00C61C64"/>
    <w:rsid w:val="00C61CDA"/>
    <w:rsid w:val="00C642CD"/>
    <w:rsid w:val="00C710B6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E7299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25F85"/>
    <w:rsid w:val="00D30534"/>
    <w:rsid w:val="00D35728"/>
    <w:rsid w:val="00D359A7"/>
    <w:rsid w:val="00D37BCF"/>
    <w:rsid w:val="00D40F93"/>
    <w:rsid w:val="00D42277"/>
    <w:rsid w:val="00D43C59"/>
    <w:rsid w:val="00D44ADE"/>
    <w:rsid w:val="00D464AE"/>
    <w:rsid w:val="00D50D65"/>
    <w:rsid w:val="00D512E0"/>
    <w:rsid w:val="00D519F3"/>
    <w:rsid w:val="00D51D2A"/>
    <w:rsid w:val="00D53B7C"/>
    <w:rsid w:val="00D546FE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128A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7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2736"/>
    <w:rsid w:val="00E04B30"/>
    <w:rsid w:val="00E05FB7"/>
    <w:rsid w:val="00E066E6"/>
    <w:rsid w:val="00E06807"/>
    <w:rsid w:val="00E06C5E"/>
    <w:rsid w:val="00E0752B"/>
    <w:rsid w:val="00E1228E"/>
    <w:rsid w:val="00E12B83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726"/>
    <w:rsid w:val="00E27E5A"/>
    <w:rsid w:val="00E31135"/>
    <w:rsid w:val="00E317BA"/>
    <w:rsid w:val="00E3469B"/>
    <w:rsid w:val="00E3562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A3F"/>
    <w:rsid w:val="00E70CC6"/>
    <w:rsid w:val="00E70CE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4231"/>
    <w:rsid w:val="00EA658E"/>
    <w:rsid w:val="00EA7A88"/>
    <w:rsid w:val="00EB27F2"/>
    <w:rsid w:val="00EB3928"/>
    <w:rsid w:val="00EB46C5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1E2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079A4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26A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72"/>
    <w:rsid w:val="00F706CA"/>
    <w:rsid w:val="00F70F8D"/>
    <w:rsid w:val="00F71C5A"/>
    <w:rsid w:val="00F733A4"/>
    <w:rsid w:val="00F7758F"/>
    <w:rsid w:val="00F82811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57E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5335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4053D6-7E4F-40F7-9B51-2953EEEA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187F2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87F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87F2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87F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87F2A"/>
    <w:rPr>
      <w:b/>
      <w:bCs/>
    </w:rPr>
  </w:style>
  <w:style w:type="paragraph" w:styleId="Revision">
    <w:name w:val="Revision"/>
    <w:hidden/>
    <w:uiPriority w:val="99"/>
    <w:semiHidden/>
    <w:rsid w:val="00C0712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F03EE"/>
    <w:pPr>
      <w:ind w:left="720"/>
      <w:contextualSpacing/>
    </w:pPr>
  </w:style>
  <w:style w:type="character" w:styleId="Hyperlink">
    <w:name w:val="Hyperlink"/>
    <w:basedOn w:val="DefaultParagraphFont"/>
    <w:unhideWhenUsed/>
    <w:rsid w:val="006B2A0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2A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70A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1522</Words>
  <Characters>8902</Characters>
  <Application>Microsoft Office Word</Application>
  <DocSecurity>4</DocSecurity>
  <Lines>161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HB03390 (Committee Report (Substituted))</vt:lpstr>
    </vt:vector>
  </TitlesOfParts>
  <Company>State of Texas</Company>
  <LinksUpToDate>false</LinksUpToDate>
  <CharactersWithSpaces>10405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25680</dc:subject>
  <dc:creator>State of Texas</dc:creator>
  <dc:description>HB 3390 by Hunter-(H)State Affairs (Substitute Document Number: 88R 23240)</dc:description>
  <cp:lastModifiedBy>Matthew Lee</cp:lastModifiedBy>
  <cp:revision>2</cp:revision>
  <cp:lastPrinted>2003-11-26T17:21:00Z</cp:lastPrinted>
  <dcterms:created xsi:type="dcterms:W3CDTF">2023-04-25T20:21:00Z</dcterms:created>
  <dcterms:modified xsi:type="dcterms:W3CDTF">2023-04-25T20:21:00Z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23.114.2312</vt:lpwstr>
  </property>
</Properties>
</file>