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D2926" w14:paraId="6ED267CA" w14:textId="77777777" w:rsidTr="00345119">
        <w:tc>
          <w:tcPr>
            <w:tcW w:w="9576" w:type="dxa"/>
            <w:noWrap/>
          </w:tcPr>
          <w:p w14:paraId="4F4A41FD" w14:textId="77777777" w:rsidR="008423E4" w:rsidRPr="0022177D" w:rsidRDefault="00834DB4" w:rsidP="00166B13">
            <w:pPr>
              <w:pStyle w:val="Heading1"/>
            </w:pPr>
            <w:r w:rsidRPr="00631897">
              <w:t>BILL ANALYSIS</w:t>
            </w:r>
          </w:p>
        </w:tc>
      </w:tr>
    </w:tbl>
    <w:p w14:paraId="18E4AB45" w14:textId="77777777" w:rsidR="008423E4" w:rsidRPr="0022177D" w:rsidRDefault="008423E4" w:rsidP="00166B13">
      <w:pPr>
        <w:jc w:val="center"/>
      </w:pPr>
    </w:p>
    <w:p w14:paraId="178B2559" w14:textId="77777777" w:rsidR="008423E4" w:rsidRPr="00B31F0E" w:rsidRDefault="008423E4" w:rsidP="00166B13"/>
    <w:p w14:paraId="50249269" w14:textId="77777777" w:rsidR="008423E4" w:rsidRPr="00742794" w:rsidRDefault="008423E4" w:rsidP="00166B1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D2926" w14:paraId="0D3917F7" w14:textId="77777777" w:rsidTr="00345119">
        <w:tc>
          <w:tcPr>
            <w:tcW w:w="9576" w:type="dxa"/>
          </w:tcPr>
          <w:p w14:paraId="2611A023" w14:textId="15199FE6" w:rsidR="008423E4" w:rsidRPr="00861995" w:rsidRDefault="00834DB4" w:rsidP="00166B13">
            <w:pPr>
              <w:jc w:val="right"/>
            </w:pPr>
            <w:r>
              <w:t>H.B. 3405</w:t>
            </w:r>
          </w:p>
        </w:tc>
      </w:tr>
      <w:tr w:rsidR="00CD2926" w14:paraId="0CCEDBEE" w14:textId="77777777" w:rsidTr="00345119">
        <w:tc>
          <w:tcPr>
            <w:tcW w:w="9576" w:type="dxa"/>
          </w:tcPr>
          <w:p w14:paraId="62590983" w14:textId="2ACEFA19" w:rsidR="008423E4" w:rsidRPr="00861995" w:rsidRDefault="00834DB4" w:rsidP="00166B13">
            <w:pPr>
              <w:jc w:val="right"/>
            </w:pPr>
            <w:r>
              <w:t xml:space="preserve">By: </w:t>
            </w:r>
            <w:r w:rsidR="00AF3498">
              <w:t>Bryant</w:t>
            </w:r>
          </w:p>
        </w:tc>
      </w:tr>
      <w:tr w:rsidR="00CD2926" w14:paraId="573EA71D" w14:textId="77777777" w:rsidTr="00345119">
        <w:tc>
          <w:tcPr>
            <w:tcW w:w="9576" w:type="dxa"/>
          </w:tcPr>
          <w:p w14:paraId="76D7FE2B" w14:textId="033E50BE" w:rsidR="008423E4" w:rsidRPr="00861995" w:rsidRDefault="00834DB4" w:rsidP="00166B13">
            <w:pPr>
              <w:jc w:val="right"/>
            </w:pPr>
            <w:r>
              <w:t>Business &amp; Industry</w:t>
            </w:r>
          </w:p>
        </w:tc>
      </w:tr>
      <w:tr w:rsidR="00CD2926" w14:paraId="59E06AEC" w14:textId="77777777" w:rsidTr="00345119">
        <w:tc>
          <w:tcPr>
            <w:tcW w:w="9576" w:type="dxa"/>
          </w:tcPr>
          <w:p w14:paraId="199DE82B" w14:textId="53457B40" w:rsidR="008423E4" w:rsidRDefault="00834DB4" w:rsidP="00166B13">
            <w:pPr>
              <w:jc w:val="right"/>
            </w:pPr>
            <w:r>
              <w:t>Committee Report (Unamended)</w:t>
            </w:r>
          </w:p>
        </w:tc>
      </w:tr>
    </w:tbl>
    <w:p w14:paraId="1172CD82" w14:textId="77777777" w:rsidR="008423E4" w:rsidRDefault="008423E4" w:rsidP="00166B13">
      <w:pPr>
        <w:tabs>
          <w:tab w:val="right" w:pos="9360"/>
        </w:tabs>
      </w:pPr>
    </w:p>
    <w:p w14:paraId="7C42ABAC" w14:textId="77777777" w:rsidR="008423E4" w:rsidRDefault="008423E4" w:rsidP="00166B13"/>
    <w:p w14:paraId="24C0CF36" w14:textId="77777777" w:rsidR="008423E4" w:rsidRDefault="008423E4" w:rsidP="00166B1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D2926" w14:paraId="09084862" w14:textId="77777777" w:rsidTr="00345119">
        <w:tc>
          <w:tcPr>
            <w:tcW w:w="9576" w:type="dxa"/>
          </w:tcPr>
          <w:p w14:paraId="13DA097C" w14:textId="77777777" w:rsidR="008423E4" w:rsidRPr="00A8133F" w:rsidRDefault="00834DB4" w:rsidP="00166B1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EAA9CBC" w14:textId="77777777" w:rsidR="008423E4" w:rsidRDefault="008423E4" w:rsidP="00166B13"/>
          <w:p w14:paraId="624BA519" w14:textId="1FA5EF9D" w:rsidR="008423E4" w:rsidRDefault="00834DB4" w:rsidP="00166B13">
            <w:pPr>
              <w:pStyle w:val="Header"/>
              <w:jc w:val="both"/>
            </w:pPr>
            <w:r w:rsidRPr="00EE1879">
              <w:t xml:space="preserve">Legal practitioners, renters and </w:t>
            </w:r>
            <w:r w:rsidR="00792DCA">
              <w:t xml:space="preserve">property </w:t>
            </w:r>
            <w:r w:rsidRPr="00EE1879">
              <w:t xml:space="preserve">owners have </w:t>
            </w:r>
            <w:r w:rsidR="00792DCA">
              <w:t>raised concerns over the</w:t>
            </w:r>
            <w:r w:rsidRPr="00EE1879">
              <w:t xml:space="preserve"> archaic </w:t>
            </w:r>
            <w:r w:rsidR="00792DCA">
              <w:t xml:space="preserve">statutory </w:t>
            </w:r>
            <w:r w:rsidRPr="00EE1879">
              <w:t xml:space="preserve">language regarding tenant </w:t>
            </w:r>
            <w:r w:rsidRPr="00EE1879">
              <w:t>repairs and security deposits</w:t>
            </w:r>
            <w:r w:rsidR="00792DCA">
              <w:t>.</w:t>
            </w:r>
            <w:r w:rsidRPr="00EE1879">
              <w:t xml:space="preserve"> </w:t>
            </w:r>
            <w:r>
              <w:t xml:space="preserve">Under current law, tenants </w:t>
            </w:r>
            <w:r w:rsidR="00792DCA">
              <w:t xml:space="preserve">are required to use a contractor or </w:t>
            </w:r>
            <w:r w:rsidR="00746C7B">
              <w:t xml:space="preserve">repairman who is listed in the </w:t>
            </w:r>
            <w:r w:rsidR="00CE1123">
              <w:t>y</w:t>
            </w:r>
            <w:r w:rsidR="00746C7B">
              <w:t xml:space="preserve">ellow </w:t>
            </w:r>
            <w:r w:rsidR="00CE1123">
              <w:t>p</w:t>
            </w:r>
            <w:r w:rsidR="00746C7B">
              <w:t xml:space="preserve">ages or in the classified advertising section of a newspaper when </w:t>
            </w:r>
            <w:r>
              <w:t>mak</w:t>
            </w:r>
            <w:r w:rsidR="00746C7B">
              <w:t>ing</w:t>
            </w:r>
            <w:r>
              <w:t xml:space="preserve"> certain </w:t>
            </w:r>
            <w:r w:rsidR="00746C7B">
              <w:t xml:space="preserve">permitted </w:t>
            </w:r>
            <w:r>
              <w:t>repairs</w:t>
            </w:r>
            <w:r w:rsidR="00746C7B">
              <w:t>;</w:t>
            </w:r>
            <w:r>
              <w:t xml:space="preserve"> </w:t>
            </w:r>
            <w:r w:rsidR="00746C7B">
              <w:t xml:space="preserve">when tenants leave a property upon termination of a lease, a forwarding address </w:t>
            </w:r>
            <w:r w:rsidR="00F60054">
              <w:t>is required for the delivery of certain notices</w:t>
            </w:r>
            <w:r w:rsidR="00746C7B">
              <w:t xml:space="preserve"> and for the return of a tenant's security deposit. </w:t>
            </w:r>
            <w:r>
              <w:t xml:space="preserve">However, </w:t>
            </w:r>
            <w:r w:rsidR="00746C7B">
              <w:t xml:space="preserve">these antiquated requirements do not comport with modern online leasing practices </w:t>
            </w:r>
            <w:r w:rsidR="00CE1123">
              <w:t xml:space="preserve">and </w:t>
            </w:r>
            <w:r w:rsidR="00CE1123" w:rsidRPr="00EE1879">
              <w:t xml:space="preserve">need to be </w:t>
            </w:r>
            <w:r w:rsidR="005B31C0">
              <w:t>updated</w:t>
            </w:r>
            <w:r w:rsidR="00CE1123" w:rsidRPr="00EE1879">
              <w:t xml:space="preserve"> to reflect modern practices.</w:t>
            </w:r>
            <w:r w:rsidR="00CE1123">
              <w:t xml:space="preserve"> </w:t>
            </w:r>
            <w:r>
              <w:t>H.B.</w:t>
            </w:r>
            <w:r w:rsidR="006F4861">
              <w:t> </w:t>
            </w:r>
            <w:r>
              <w:t xml:space="preserve">3405 seeks to address this </w:t>
            </w:r>
            <w:r w:rsidR="005B31C0">
              <w:t xml:space="preserve">issue </w:t>
            </w:r>
            <w:r>
              <w:t xml:space="preserve">by </w:t>
            </w:r>
            <w:r w:rsidR="00CE1123" w:rsidRPr="00CE1123">
              <w:t>updating language in provisions relating to rental unit repairs and returning security deposits.</w:t>
            </w:r>
          </w:p>
          <w:p w14:paraId="0B0990E5" w14:textId="77777777" w:rsidR="008423E4" w:rsidRPr="00E26B13" w:rsidRDefault="008423E4" w:rsidP="00166B13">
            <w:pPr>
              <w:rPr>
                <w:b/>
              </w:rPr>
            </w:pPr>
          </w:p>
        </w:tc>
      </w:tr>
      <w:tr w:rsidR="00CD2926" w14:paraId="6DF70EA8" w14:textId="77777777" w:rsidTr="00345119">
        <w:tc>
          <w:tcPr>
            <w:tcW w:w="9576" w:type="dxa"/>
          </w:tcPr>
          <w:p w14:paraId="1DCD8B01" w14:textId="77777777" w:rsidR="0017725B" w:rsidRDefault="00834DB4" w:rsidP="00166B1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15A7010" w14:textId="77777777" w:rsidR="0017725B" w:rsidRDefault="0017725B" w:rsidP="00166B13">
            <w:pPr>
              <w:rPr>
                <w:b/>
                <w:u w:val="single"/>
              </w:rPr>
            </w:pPr>
          </w:p>
          <w:p w14:paraId="358A19B0" w14:textId="77777777" w:rsidR="00107E47" w:rsidRPr="00107E47" w:rsidRDefault="00834DB4" w:rsidP="00166B13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E0842CB" w14:textId="77777777" w:rsidR="0017725B" w:rsidRPr="0017725B" w:rsidRDefault="0017725B" w:rsidP="00166B13">
            <w:pPr>
              <w:rPr>
                <w:b/>
                <w:u w:val="single"/>
              </w:rPr>
            </w:pPr>
          </w:p>
        </w:tc>
      </w:tr>
      <w:tr w:rsidR="00CD2926" w14:paraId="625BA12B" w14:textId="77777777" w:rsidTr="00345119">
        <w:tc>
          <w:tcPr>
            <w:tcW w:w="9576" w:type="dxa"/>
          </w:tcPr>
          <w:p w14:paraId="39FA239D" w14:textId="77777777" w:rsidR="008423E4" w:rsidRPr="00A8133F" w:rsidRDefault="00834DB4" w:rsidP="00166B1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C351D1E" w14:textId="77777777" w:rsidR="008423E4" w:rsidRDefault="008423E4" w:rsidP="00166B13"/>
          <w:p w14:paraId="2CAAF4FF" w14:textId="77777777" w:rsidR="00107E47" w:rsidRDefault="00834DB4" w:rsidP="00166B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</w:t>
            </w:r>
            <w:r>
              <w:t>s the committee's opinion that this bill does not expressly grant any additional rulemaking authority to a state officer, department, agency, or institution.</w:t>
            </w:r>
          </w:p>
          <w:p w14:paraId="3585A019" w14:textId="77777777" w:rsidR="008423E4" w:rsidRPr="00E21FDC" w:rsidRDefault="008423E4" w:rsidP="00166B13">
            <w:pPr>
              <w:rPr>
                <w:b/>
              </w:rPr>
            </w:pPr>
          </w:p>
        </w:tc>
      </w:tr>
      <w:tr w:rsidR="00CD2926" w14:paraId="3A54F0B0" w14:textId="77777777" w:rsidTr="00345119">
        <w:tc>
          <w:tcPr>
            <w:tcW w:w="9576" w:type="dxa"/>
          </w:tcPr>
          <w:p w14:paraId="7042D066" w14:textId="77777777" w:rsidR="008423E4" w:rsidRPr="00A8133F" w:rsidRDefault="00834DB4" w:rsidP="00166B1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E41DAD4" w14:textId="77777777" w:rsidR="008423E4" w:rsidRDefault="008423E4" w:rsidP="00166B13"/>
          <w:p w14:paraId="4F74E7EF" w14:textId="458A74A0" w:rsidR="009C36CD" w:rsidRDefault="00834DB4" w:rsidP="00166B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2336C6">
              <w:t xml:space="preserve">3405 </w:t>
            </w:r>
            <w:r>
              <w:t xml:space="preserve">amends the </w:t>
            </w:r>
            <w:r w:rsidRPr="00F26984">
              <w:t>Property Code</w:t>
            </w:r>
            <w:r>
              <w:t xml:space="preserve"> to </w:t>
            </w:r>
            <w:r w:rsidR="0092457E">
              <w:t xml:space="preserve">revise provisions relating to </w:t>
            </w:r>
            <w:r w:rsidR="005B5E55">
              <w:t xml:space="preserve">repairs made </w:t>
            </w:r>
            <w:r w:rsidR="00DC462B">
              <w:t>to a rental unit</w:t>
            </w:r>
            <w:r w:rsidR="005B5E55">
              <w:t xml:space="preserve"> </w:t>
            </w:r>
            <w:r w:rsidR="00107E47">
              <w:t>under a residential tenancy and a manufactured home tenancy</w:t>
            </w:r>
            <w:r w:rsidR="000C719A">
              <w:t xml:space="preserve"> </w:t>
            </w:r>
            <w:r w:rsidR="00532293">
              <w:t>by doing the following</w:t>
            </w:r>
            <w:r w:rsidR="005B5E55">
              <w:t>:</w:t>
            </w:r>
          </w:p>
          <w:p w14:paraId="52F28B66" w14:textId="3D2B487A" w:rsidR="005B5E55" w:rsidRDefault="00834DB4" w:rsidP="00166B1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requiring repairs made pursuant to a tenant's </w:t>
            </w:r>
            <w:r w:rsidRPr="00DC462B">
              <w:t>notice of intent to repair</w:t>
            </w:r>
            <w:r>
              <w:t xml:space="preserve"> to be made by an independent </w:t>
            </w:r>
            <w:r w:rsidRPr="00DC462B">
              <w:t>company, c</w:t>
            </w:r>
            <w:r w:rsidRPr="00DC462B">
              <w:t xml:space="preserve">ontractor, or </w:t>
            </w:r>
            <w:r w:rsidR="00A63872" w:rsidRPr="00DC462B">
              <w:t>repair</w:t>
            </w:r>
            <w:r w:rsidR="004A3C69">
              <w:t>man</w:t>
            </w:r>
            <w:r w:rsidR="00A63872" w:rsidRPr="00DC462B">
              <w:t xml:space="preserve"> </w:t>
            </w:r>
            <w:r w:rsidR="002740E8">
              <w:t xml:space="preserve">that is </w:t>
            </w:r>
            <w:r w:rsidR="002740E8" w:rsidRPr="00DC462B">
              <w:t xml:space="preserve">licensed </w:t>
            </w:r>
            <w:r w:rsidR="0077432B">
              <w:t xml:space="preserve">in accordance with </w:t>
            </w:r>
            <w:r w:rsidR="002740E8">
              <w:t>the</w:t>
            </w:r>
            <w:r w:rsidR="002740E8" w:rsidRPr="00DC462B">
              <w:t xml:space="preserve"> municipality</w:t>
            </w:r>
            <w:r w:rsidR="0077432B">
              <w:t>'s requirements</w:t>
            </w:r>
            <w:r w:rsidR="002740E8">
              <w:t xml:space="preserve"> in which the rental unit is located</w:t>
            </w:r>
            <w:r w:rsidR="009B5619">
              <w:t>,</w:t>
            </w:r>
            <w:r w:rsidR="002740E8">
              <w:t xml:space="preserve"> if </w:t>
            </w:r>
            <w:r w:rsidR="009B5619">
              <w:t>applicable</w:t>
            </w:r>
            <w:r>
              <w:t>;</w:t>
            </w:r>
            <w:r w:rsidR="002740E8">
              <w:t xml:space="preserve"> and</w:t>
            </w:r>
          </w:p>
          <w:p w14:paraId="06F1E655" w14:textId="4391648F" w:rsidR="00DC462B" w:rsidRDefault="00834DB4" w:rsidP="00166B1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 w:rsidRPr="00DC462B">
              <w:t xml:space="preserve">removing a requirement that the company, contractor, or </w:t>
            </w:r>
            <w:r w:rsidR="00A63872" w:rsidRPr="00DC462B">
              <w:t>repair</w:t>
            </w:r>
            <w:r w:rsidR="004A3C69">
              <w:t>man</w:t>
            </w:r>
            <w:r w:rsidR="00A63872" w:rsidRPr="00DC462B">
              <w:t xml:space="preserve"> </w:t>
            </w:r>
            <w:r w:rsidRPr="00DC462B">
              <w:t xml:space="preserve">be listed in the yellow or business pages of the telephone directory or in the classified advertising section of a newspaper of the local city, county, or adjacent county at the time of the </w:t>
            </w:r>
            <w:r w:rsidRPr="00DC462B">
              <w:t>tenant's notice of intent to repair</w:t>
            </w:r>
            <w:r w:rsidR="002426FA">
              <w:t>.</w:t>
            </w:r>
          </w:p>
          <w:p w14:paraId="091E0C25" w14:textId="77777777" w:rsidR="00E5526A" w:rsidRDefault="00E5526A" w:rsidP="00166B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4B4DDBA" w14:textId="368873A7" w:rsidR="002426FA" w:rsidRDefault="00834DB4" w:rsidP="00166B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2336C6">
              <w:t xml:space="preserve">3405 </w:t>
            </w:r>
            <w:r w:rsidR="005604BB">
              <w:t xml:space="preserve">authorizes a tenant </w:t>
            </w:r>
            <w:r w:rsidR="00107E47">
              <w:t>of a residential rental property</w:t>
            </w:r>
            <w:r w:rsidR="00BC3F8E">
              <w:t xml:space="preserve"> or </w:t>
            </w:r>
            <w:r w:rsidR="00A3064E">
              <w:t xml:space="preserve">of </w:t>
            </w:r>
            <w:r w:rsidR="00BC3F8E">
              <w:t xml:space="preserve">a lot </w:t>
            </w:r>
            <w:r w:rsidR="00A3064E">
              <w:t>in a</w:t>
            </w:r>
            <w:r w:rsidR="00BC3F8E">
              <w:t xml:space="preserve"> manufactured home community</w:t>
            </w:r>
            <w:r w:rsidR="00107E47">
              <w:t xml:space="preserve"> </w:t>
            </w:r>
            <w:r w:rsidR="005604BB">
              <w:t xml:space="preserve">to satisfy the requirement </w:t>
            </w:r>
            <w:r w:rsidR="00E53F14">
              <w:t xml:space="preserve">to </w:t>
            </w:r>
            <w:r w:rsidR="00107E47">
              <w:t>provide to</w:t>
            </w:r>
            <w:r w:rsidR="00E53F14">
              <w:t xml:space="preserve"> a landlord </w:t>
            </w:r>
            <w:r w:rsidR="00E53F14" w:rsidRPr="00E53F14">
              <w:t>a written statement of the tenant's forwarding address for the purpose of refunding the security deposit</w:t>
            </w:r>
            <w:r w:rsidR="00E53F14">
              <w:t xml:space="preserve"> </w:t>
            </w:r>
            <w:r>
              <w:t>in the following ways:</w:t>
            </w:r>
          </w:p>
          <w:p w14:paraId="56F992E0" w14:textId="43C1C0E3" w:rsidR="002426FA" w:rsidRDefault="00834DB4" w:rsidP="00166B1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providing the statement in accordance with the lease; or</w:t>
            </w:r>
          </w:p>
          <w:p w14:paraId="75E4E193" w14:textId="3CBBCFE3" w:rsidR="002426FA" w:rsidRDefault="00834DB4" w:rsidP="00166B1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0C719A">
              <w:t>regardless of the lease terms,</w:t>
            </w:r>
            <w:r w:rsidR="00561931">
              <w:t xml:space="preserve"> hand delivering </w:t>
            </w:r>
            <w:r w:rsidR="00561931" w:rsidRPr="00561931">
              <w:t>the statement to the landlord or landlord's property manager if rent has been paid in that manner</w:t>
            </w:r>
            <w:r w:rsidR="00561931">
              <w:t xml:space="preserve"> or </w:t>
            </w:r>
            <w:r w:rsidR="0052753C">
              <w:t>sending</w:t>
            </w:r>
            <w:r w:rsidR="0052753C" w:rsidRPr="00561931">
              <w:t xml:space="preserve"> </w:t>
            </w:r>
            <w:r w:rsidR="00561931" w:rsidRPr="00561931">
              <w:t>the statement to the landlord or landlord's property manager or to an address where the tenan</w:t>
            </w:r>
            <w:r w:rsidR="00561931">
              <w:t>t has paid rent under the lease</w:t>
            </w:r>
            <w:r>
              <w:t xml:space="preserve"> </w:t>
            </w:r>
            <w:r w:rsidRPr="000C719A">
              <w:t>through certain delivery services</w:t>
            </w:r>
            <w:r w:rsidR="00561931">
              <w:t xml:space="preserve">. </w:t>
            </w:r>
          </w:p>
          <w:p w14:paraId="60C4A2EF" w14:textId="28B3451A" w:rsidR="00E5526A" w:rsidRDefault="00834DB4" w:rsidP="00166B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establishes that a tenant who complies with the authorized </w:t>
            </w:r>
            <w:r>
              <w:t xml:space="preserve">methods of delivery has satisfied the requirement, </w:t>
            </w:r>
            <w:r w:rsidRPr="00561931">
              <w:t>even if the landlord fails to claim or refuses delivery of the written statement of the tenant's forwarding address.</w:t>
            </w:r>
            <w:r w:rsidR="002740E8">
              <w:t xml:space="preserve"> The bill includes a tenant'</w:t>
            </w:r>
            <w:r w:rsidR="0051245D">
              <w:t xml:space="preserve">s satisfaction of the </w:t>
            </w:r>
            <w:r w:rsidR="00834D95">
              <w:t xml:space="preserve">forwarding address </w:t>
            </w:r>
            <w:r w:rsidR="0051245D">
              <w:t xml:space="preserve">requirement among </w:t>
            </w:r>
            <w:r w:rsidR="00584DE4">
              <w:t xml:space="preserve">the </w:t>
            </w:r>
            <w:r w:rsidR="0051245D">
              <w:t>conditions that must be met in order for a landlord to be presumed to have acted in bad faith</w:t>
            </w:r>
            <w:r w:rsidR="004F1F71">
              <w:t xml:space="preserve"> if the landlord fails either to return a security deposit or to provide a written description and itemization of deductions on or before the 30th day after the date the tenant has </w:t>
            </w:r>
            <w:r w:rsidR="004A3C69">
              <w:t xml:space="preserve">met the applicable </w:t>
            </w:r>
            <w:r w:rsidR="006948D2">
              <w:t>conditions</w:t>
            </w:r>
            <w:r w:rsidR="004F1F71">
              <w:t>.</w:t>
            </w:r>
          </w:p>
          <w:p w14:paraId="3A880946" w14:textId="6A932DF5" w:rsidR="002336C6" w:rsidRDefault="002336C6" w:rsidP="00166B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B570006" w14:textId="174E3646" w:rsidR="002336C6" w:rsidRPr="009C36CD" w:rsidRDefault="00834DB4" w:rsidP="00166B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3405 applies only to a lease entered into or renewed on or after the bill's effective date.</w:t>
            </w:r>
          </w:p>
          <w:p w14:paraId="72AB8D34" w14:textId="77777777" w:rsidR="008423E4" w:rsidRPr="00835628" w:rsidRDefault="008423E4" w:rsidP="00166B13">
            <w:pPr>
              <w:rPr>
                <w:b/>
              </w:rPr>
            </w:pPr>
          </w:p>
        </w:tc>
      </w:tr>
      <w:tr w:rsidR="00CD2926" w14:paraId="6DECAE74" w14:textId="77777777" w:rsidTr="00345119">
        <w:tc>
          <w:tcPr>
            <w:tcW w:w="9576" w:type="dxa"/>
          </w:tcPr>
          <w:p w14:paraId="67A25FE2" w14:textId="77777777" w:rsidR="008423E4" w:rsidRPr="00A8133F" w:rsidRDefault="00834DB4" w:rsidP="00166B1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B455A09" w14:textId="77777777" w:rsidR="008423E4" w:rsidRDefault="008423E4" w:rsidP="00166B13"/>
          <w:p w14:paraId="0E9BEB8E" w14:textId="006EB8C3" w:rsidR="008423E4" w:rsidRPr="003624F2" w:rsidRDefault="00834DB4" w:rsidP="00166B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EA869BA" w14:textId="77777777" w:rsidR="008423E4" w:rsidRPr="00233FDB" w:rsidRDefault="008423E4" w:rsidP="00166B13">
            <w:pPr>
              <w:rPr>
                <w:b/>
              </w:rPr>
            </w:pPr>
          </w:p>
        </w:tc>
      </w:tr>
      <w:tr w:rsidR="00CD2926" w14:paraId="661D0A1E" w14:textId="77777777" w:rsidTr="00345119">
        <w:tc>
          <w:tcPr>
            <w:tcW w:w="9576" w:type="dxa"/>
          </w:tcPr>
          <w:p w14:paraId="6E985C62" w14:textId="77777777" w:rsidR="00107E47" w:rsidRPr="00107E47" w:rsidRDefault="00107E47" w:rsidP="00166B13">
            <w:pPr>
              <w:jc w:val="both"/>
            </w:pPr>
          </w:p>
        </w:tc>
      </w:tr>
      <w:tr w:rsidR="00CD2926" w14:paraId="1C01B94B" w14:textId="77777777" w:rsidTr="00345119">
        <w:tc>
          <w:tcPr>
            <w:tcW w:w="9576" w:type="dxa"/>
          </w:tcPr>
          <w:p w14:paraId="031A1E1C" w14:textId="77777777" w:rsidR="0004647B" w:rsidRPr="009C1E9A" w:rsidRDefault="0004647B" w:rsidP="00166B13">
            <w:pPr>
              <w:rPr>
                <w:b/>
                <w:u w:val="single"/>
              </w:rPr>
            </w:pPr>
          </w:p>
        </w:tc>
      </w:tr>
      <w:tr w:rsidR="00CD2926" w14:paraId="4C0DC000" w14:textId="77777777" w:rsidTr="00345119">
        <w:tc>
          <w:tcPr>
            <w:tcW w:w="9576" w:type="dxa"/>
          </w:tcPr>
          <w:p w14:paraId="092E30AB" w14:textId="77777777" w:rsidR="0004647B" w:rsidRPr="0004647B" w:rsidRDefault="0004647B" w:rsidP="00166B13">
            <w:pPr>
              <w:jc w:val="both"/>
            </w:pPr>
          </w:p>
        </w:tc>
      </w:tr>
    </w:tbl>
    <w:p w14:paraId="468B9C76" w14:textId="77777777" w:rsidR="008423E4" w:rsidRPr="00BE0E75" w:rsidRDefault="008423E4" w:rsidP="00166B13">
      <w:pPr>
        <w:jc w:val="both"/>
        <w:rPr>
          <w:rFonts w:ascii="Arial" w:hAnsi="Arial"/>
          <w:sz w:val="16"/>
          <w:szCs w:val="16"/>
        </w:rPr>
      </w:pPr>
    </w:p>
    <w:p w14:paraId="74FE3A3F" w14:textId="77777777" w:rsidR="004108C3" w:rsidRPr="008423E4" w:rsidRDefault="004108C3" w:rsidP="00166B1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0D1D" w14:textId="77777777" w:rsidR="00000000" w:rsidRDefault="00834DB4">
      <w:r>
        <w:separator/>
      </w:r>
    </w:p>
  </w:endnote>
  <w:endnote w:type="continuationSeparator" w:id="0">
    <w:p w14:paraId="0DF6DD62" w14:textId="77777777" w:rsidR="00000000" w:rsidRDefault="0083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4F97" w14:textId="77777777" w:rsidR="00834D95" w:rsidRDefault="00834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D2926" w14:paraId="238AE30C" w14:textId="77777777" w:rsidTr="009C1E9A">
      <w:trPr>
        <w:cantSplit/>
      </w:trPr>
      <w:tc>
        <w:tcPr>
          <w:tcW w:w="0" w:type="pct"/>
        </w:tcPr>
        <w:p w14:paraId="74231E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62C2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D02CB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5141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A4E93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D2926" w14:paraId="4BF1ACC4" w14:textId="77777777" w:rsidTr="009C1E9A">
      <w:trPr>
        <w:cantSplit/>
      </w:trPr>
      <w:tc>
        <w:tcPr>
          <w:tcW w:w="0" w:type="pct"/>
        </w:tcPr>
        <w:p w14:paraId="2234F6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DFE20F" w14:textId="1F0F4186" w:rsidR="00EC379B" w:rsidRPr="009C1E9A" w:rsidRDefault="00834DB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26453-D</w:t>
          </w:r>
        </w:p>
      </w:tc>
      <w:tc>
        <w:tcPr>
          <w:tcW w:w="2453" w:type="pct"/>
        </w:tcPr>
        <w:p w14:paraId="7BF04771" w14:textId="76705814" w:rsidR="00EC379B" w:rsidRDefault="00834DB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F4861">
            <w:t>23.117.2299</w:t>
          </w:r>
          <w:r>
            <w:fldChar w:fldCharType="end"/>
          </w:r>
        </w:p>
      </w:tc>
    </w:tr>
    <w:tr w:rsidR="00CD2926" w14:paraId="68D4EB63" w14:textId="77777777" w:rsidTr="009C1E9A">
      <w:trPr>
        <w:cantSplit/>
      </w:trPr>
      <w:tc>
        <w:tcPr>
          <w:tcW w:w="0" w:type="pct"/>
        </w:tcPr>
        <w:p w14:paraId="117DB8A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F213276" w14:textId="6CBDA9CA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799AC4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D72668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D2926" w14:paraId="6F8ED89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B572FB2" w14:textId="3D12D690" w:rsidR="00EC379B" w:rsidRDefault="00834DB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656D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6ACDAD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618FEA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E25C" w14:textId="77777777" w:rsidR="00834D95" w:rsidRDefault="00834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C15D" w14:textId="77777777" w:rsidR="00000000" w:rsidRDefault="00834DB4">
      <w:r>
        <w:separator/>
      </w:r>
    </w:p>
  </w:footnote>
  <w:footnote w:type="continuationSeparator" w:id="0">
    <w:p w14:paraId="2E9CD431" w14:textId="77777777" w:rsidR="00000000" w:rsidRDefault="0083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91B3" w14:textId="77777777" w:rsidR="00834D95" w:rsidRDefault="00834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CFAD" w14:textId="77777777" w:rsidR="00834D95" w:rsidRDefault="00834D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6020" w14:textId="77777777" w:rsidR="00834D95" w:rsidRDefault="00834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E0149"/>
    <w:multiLevelType w:val="hybridMultilevel"/>
    <w:tmpl w:val="E9B6A15C"/>
    <w:lvl w:ilvl="0" w:tplc="5824E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292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0E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4C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E3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8A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2B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8A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00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91EC4"/>
    <w:multiLevelType w:val="hybridMultilevel"/>
    <w:tmpl w:val="1C3EC80C"/>
    <w:lvl w:ilvl="0" w:tplc="74CAE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6465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2EA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A5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E9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A9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AE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64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88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7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47B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432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19A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7E47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76B5"/>
    <w:rsid w:val="00160402"/>
    <w:rsid w:val="00160571"/>
    <w:rsid w:val="00161E93"/>
    <w:rsid w:val="00162C7A"/>
    <w:rsid w:val="00162DAE"/>
    <w:rsid w:val="001639C5"/>
    <w:rsid w:val="00163E45"/>
    <w:rsid w:val="001664C2"/>
    <w:rsid w:val="00166B13"/>
    <w:rsid w:val="00171BF2"/>
    <w:rsid w:val="0017338B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0E3D"/>
    <w:rsid w:val="0023341D"/>
    <w:rsid w:val="002336C6"/>
    <w:rsid w:val="002338DA"/>
    <w:rsid w:val="00233D66"/>
    <w:rsid w:val="00233FDB"/>
    <w:rsid w:val="00234F58"/>
    <w:rsid w:val="0023507D"/>
    <w:rsid w:val="0024077A"/>
    <w:rsid w:val="00241EC1"/>
    <w:rsid w:val="002426FA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0E8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864"/>
    <w:rsid w:val="002E75E4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654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242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3C69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325"/>
    <w:rsid w:val="004E5D4F"/>
    <w:rsid w:val="004E5DEA"/>
    <w:rsid w:val="004E6639"/>
    <w:rsid w:val="004E6BAE"/>
    <w:rsid w:val="004F1F71"/>
    <w:rsid w:val="004F32AD"/>
    <w:rsid w:val="004F57CB"/>
    <w:rsid w:val="004F64F6"/>
    <w:rsid w:val="004F69C0"/>
    <w:rsid w:val="004F7325"/>
    <w:rsid w:val="00500121"/>
    <w:rsid w:val="005017AC"/>
    <w:rsid w:val="00501E8A"/>
    <w:rsid w:val="00505121"/>
    <w:rsid w:val="00505C04"/>
    <w:rsid w:val="00505F1B"/>
    <w:rsid w:val="005073E8"/>
    <w:rsid w:val="00510503"/>
    <w:rsid w:val="0051245D"/>
    <w:rsid w:val="0051324D"/>
    <w:rsid w:val="00515466"/>
    <w:rsid w:val="005154F7"/>
    <w:rsid w:val="005159DE"/>
    <w:rsid w:val="005269CE"/>
    <w:rsid w:val="0052753C"/>
    <w:rsid w:val="005304B2"/>
    <w:rsid w:val="00532293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04BB"/>
    <w:rsid w:val="0056153F"/>
    <w:rsid w:val="00561931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4DE4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1C0"/>
    <w:rsid w:val="005B3298"/>
    <w:rsid w:val="005B5516"/>
    <w:rsid w:val="005B5D2B"/>
    <w:rsid w:val="005B5E55"/>
    <w:rsid w:val="005C1496"/>
    <w:rsid w:val="005C17C5"/>
    <w:rsid w:val="005C2B21"/>
    <w:rsid w:val="005C2C00"/>
    <w:rsid w:val="005C45C2"/>
    <w:rsid w:val="005C4C6F"/>
    <w:rsid w:val="005C5127"/>
    <w:rsid w:val="005C7CCB"/>
    <w:rsid w:val="005D1444"/>
    <w:rsid w:val="005D18C5"/>
    <w:rsid w:val="005D4DAE"/>
    <w:rsid w:val="005D767D"/>
    <w:rsid w:val="005D7A30"/>
    <w:rsid w:val="005D7D3B"/>
    <w:rsid w:val="005E07D5"/>
    <w:rsid w:val="005E1999"/>
    <w:rsid w:val="005E232C"/>
    <w:rsid w:val="005E2B83"/>
    <w:rsid w:val="005E4AEB"/>
    <w:rsid w:val="005E738F"/>
    <w:rsid w:val="005E788B"/>
    <w:rsid w:val="005F1519"/>
    <w:rsid w:val="005F3F55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E17"/>
    <w:rsid w:val="00605F7B"/>
    <w:rsid w:val="006067A7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0CC0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48D2"/>
    <w:rsid w:val="00695101"/>
    <w:rsid w:val="00695B9A"/>
    <w:rsid w:val="00696563"/>
    <w:rsid w:val="006979F8"/>
    <w:rsid w:val="006A6068"/>
    <w:rsid w:val="006A71EF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861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C7B"/>
    <w:rsid w:val="007509BE"/>
    <w:rsid w:val="0075287B"/>
    <w:rsid w:val="00755C7B"/>
    <w:rsid w:val="00764786"/>
    <w:rsid w:val="00766E12"/>
    <w:rsid w:val="0077098E"/>
    <w:rsid w:val="00771287"/>
    <w:rsid w:val="0077149E"/>
    <w:rsid w:val="0077432B"/>
    <w:rsid w:val="00777518"/>
    <w:rsid w:val="0077779E"/>
    <w:rsid w:val="00780FB6"/>
    <w:rsid w:val="0078552A"/>
    <w:rsid w:val="00785729"/>
    <w:rsid w:val="00786058"/>
    <w:rsid w:val="00792DCA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549C"/>
    <w:rsid w:val="0080765F"/>
    <w:rsid w:val="00812BE3"/>
    <w:rsid w:val="00814516"/>
    <w:rsid w:val="00815C9D"/>
    <w:rsid w:val="008170E2"/>
    <w:rsid w:val="008171CD"/>
    <w:rsid w:val="00823E4C"/>
    <w:rsid w:val="00827749"/>
    <w:rsid w:val="00827B7E"/>
    <w:rsid w:val="00830EEB"/>
    <w:rsid w:val="008347A9"/>
    <w:rsid w:val="00834D95"/>
    <w:rsid w:val="00834DB4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10F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57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2CDA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61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64E"/>
    <w:rsid w:val="00A32304"/>
    <w:rsid w:val="00A3420E"/>
    <w:rsid w:val="00A35D66"/>
    <w:rsid w:val="00A41085"/>
    <w:rsid w:val="00A425FA"/>
    <w:rsid w:val="00A43960"/>
    <w:rsid w:val="00A46902"/>
    <w:rsid w:val="00A47733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3872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498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81C"/>
    <w:rsid w:val="00B80532"/>
    <w:rsid w:val="00B82039"/>
    <w:rsid w:val="00B82454"/>
    <w:rsid w:val="00B851C1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3F8E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6D5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B1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926"/>
    <w:rsid w:val="00CD37DA"/>
    <w:rsid w:val="00CD4F2C"/>
    <w:rsid w:val="00CD731C"/>
    <w:rsid w:val="00CE08E8"/>
    <w:rsid w:val="00CE1123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23EE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44CB8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1FA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D37"/>
    <w:rsid w:val="00DC1F1B"/>
    <w:rsid w:val="00DC3D8F"/>
    <w:rsid w:val="00DC42E8"/>
    <w:rsid w:val="00DC462B"/>
    <w:rsid w:val="00DC6DBB"/>
    <w:rsid w:val="00DC7761"/>
    <w:rsid w:val="00DC7B9F"/>
    <w:rsid w:val="00DD0022"/>
    <w:rsid w:val="00DD06EE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F14"/>
    <w:rsid w:val="00E5526A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223"/>
    <w:rsid w:val="00E85DBD"/>
    <w:rsid w:val="00E87A99"/>
    <w:rsid w:val="00E90702"/>
    <w:rsid w:val="00E9241E"/>
    <w:rsid w:val="00E93DEF"/>
    <w:rsid w:val="00E947B1"/>
    <w:rsid w:val="00E96852"/>
    <w:rsid w:val="00EA00D3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879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63C"/>
    <w:rsid w:val="00F11E04"/>
    <w:rsid w:val="00F12B24"/>
    <w:rsid w:val="00F12BC7"/>
    <w:rsid w:val="00F15223"/>
    <w:rsid w:val="00F164B4"/>
    <w:rsid w:val="00F176E4"/>
    <w:rsid w:val="00F20E5F"/>
    <w:rsid w:val="00F25CC2"/>
    <w:rsid w:val="00F26984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0054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2DA555-C4FA-422E-82CD-11DB7680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C462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C71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71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71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7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719A"/>
    <w:rPr>
      <w:b/>
      <w:bCs/>
    </w:rPr>
  </w:style>
  <w:style w:type="paragraph" w:styleId="Revision">
    <w:name w:val="Revision"/>
    <w:hidden/>
    <w:uiPriority w:val="99"/>
    <w:semiHidden/>
    <w:rsid w:val="002E3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3005</Characters>
  <Application>Microsoft Office Word</Application>
  <DocSecurity>4</DocSecurity>
  <Lines>72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HB03405 (Committee Report (Unamended))</vt:lpstr>
    </vt:vector>
  </TitlesOfParts>
  <Company>State of Texas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26453</dc:subject>
  <dc:creator>State of Texas</dc:creator>
  <dc:description>HB 3405 by Bryant-(H)Business &amp; Industry</dc:description>
  <cp:lastModifiedBy>Matthew Lee</cp:lastModifiedBy>
  <cp:revision>2</cp:revision>
  <cp:lastPrinted>2003-11-26T17:21:00Z</cp:lastPrinted>
  <dcterms:created xsi:type="dcterms:W3CDTF">2023-05-05T00:16:00Z</dcterms:created>
  <dcterms:modified xsi:type="dcterms:W3CDTF">2023-05-05T00:16:00Z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23.117.2299</vt:lpwstr>
  </property>
</Properties>
</file>