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77CCA" w14:paraId="5D6BBF44" w14:textId="77777777" w:rsidTr="00345119">
        <w:tc>
          <w:tcPr>
            <w:tcW w:w="9576" w:type="dxa"/>
            <w:noWrap/>
          </w:tcPr>
          <w:p w14:paraId="59F66ACA" w14:textId="77777777" w:rsidR="008423E4" w:rsidRPr="0022177D" w:rsidRDefault="001C5870" w:rsidP="00B957F2">
            <w:pPr>
              <w:pStyle w:val="Heading1"/>
            </w:pPr>
            <w:r w:rsidRPr="00631897">
              <w:t>BILL ANALYSIS</w:t>
            </w:r>
          </w:p>
        </w:tc>
      </w:tr>
    </w:tbl>
    <w:p w14:paraId="09958586" w14:textId="77777777" w:rsidR="008423E4" w:rsidRPr="0022177D" w:rsidRDefault="008423E4" w:rsidP="00B957F2">
      <w:pPr>
        <w:jc w:val="center"/>
      </w:pPr>
    </w:p>
    <w:p w14:paraId="483015C9" w14:textId="77777777" w:rsidR="008423E4" w:rsidRPr="00B31F0E" w:rsidRDefault="008423E4" w:rsidP="00B957F2"/>
    <w:p w14:paraId="77C08B05" w14:textId="77777777" w:rsidR="008423E4" w:rsidRPr="00742794" w:rsidRDefault="008423E4" w:rsidP="00B957F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77CCA" w14:paraId="5A52E041" w14:textId="77777777" w:rsidTr="00345119">
        <w:tc>
          <w:tcPr>
            <w:tcW w:w="9576" w:type="dxa"/>
          </w:tcPr>
          <w:p w14:paraId="30A23834" w14:textId="3E3E15B8" w:rsidR="008423E4" w:rsidRPr="00861995" w:rsidRDefault="001C5870" w:rsidP="00B957F2">
            <w:pPr>
              <w:jc w:val="right"/>
            </w:pPr>
            <w:r>
              <w:t>C.S.H.B. 3504</w:t>
            </w:r>
          </w:p>
        </w:tc>
      </w:tr>
      <w:tr w:rsidR="00F77CCA" w14:paraId="0B92DC40" w14:textId="77777777" w:rsidTr="00345119">
        <w:tc>
          <w:tcPr>
            <w:tcW w:w="9576" w:type="dxa"/>
          </w:tcPr>
          <w:p w14:paraId="387214C0" w14:textId="21C40ED2" w:rsidR="008423E4" w:rsidRPr="00861995" w:rsidRDefault="001C5870" w:rsidP="00B957F2">
            <w:pPr>
              <w:jc w:val="right"/>
            </w:pPr>
            <w:r>
              <w:t xml:space="preserve">By: </w:t>
            </w:r>
            <w:r w:rsidR="0079721C">
              <w:t>Leach</w:t>
            </w:r>
          </w:p>
        </w:tc>
      </w:tr>
      <w:tr w:rsidR="00F77CCA" w14:paraId="67E43025" w14:textId="77777777" w:rsidTr="00345119">
        <w:tc>
          <w:tcPr>
            <w:tcW w:w="9576" w:type="dxa"/>
          </w:tcPr>
          <w:p w14:paraId="1C183634" w14:textId="3A786F0E" w:rsidR="008423E4" w:rsidRPr="00861995" w:rsidRDefault="001C5870" w:rsidP="00B957F2">
            <w:pPr>
              <w:jc w:val="right"/>
            </w:pPr>
            <w:r>
              <w:t>Judiciary &amp; Civil Jurisprudence</w:t>
            </w:r>
          </w:p>
        </w:tc>
      </w:tr>
      <w:tr w:rsidR="00F77CCA" w14:paraId="099F6BD1" w14:textId="77777777" w:rsidTr="00345119">
        <w:tc>
          <w:tcPr>
            <w:tcW w:w="9576" w:type="dxa"/>
          </w:tcPr>
          <w:p w14:paraId="3817F1AE" w14:textId="6C6EF10C" w:rsidR="008423E4" w:rsidRDefault="001C5870" w:rsidP="00B957F2">
            <w:pPr>
              <w:jc w:val="right"/>
            </w:pPr>
            <w:r>
              <w:t>Committee Report (Substituted)</w:t>
            </w:r>
          </w:p>
        </w:tc>
      </w:tr>
    </w:tbl>
    <w:p w14:paraId="43F7EEF7" w14:textId="77777777" w:rsidR="008423E4" w:rsidRDefault="008423E4" w:rsidP="00B957F2">
      <w:pPr>
        <w:tabs>
          <w:tab w:val="right" w:pos="9360"/>
        </w:tabs>
      </w:pPr>
    </w:p>
    <w:p w14:paraId="199762DC" w14:textId="77777777" w:rsidR="008423E4" w:rsidRDefault="008423E4" w:rsidP="00B957F2"/>
    <w:p w14:paraId="5FB83F54" w14:textId="77777777" w:rsidR="008423E4" w:rsidRDefault="008423E4" w:rsidP="00B957F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77CCA" w14:paraId="76E3F102" w14:textId="77777777" w:rsidTr="00345119">
        <w:tc>
          <w:tcPr>
            <w:tcW w:w="9576" w:type="dxa"/>
          </w:tcPr>
          <w:p w14:paraId="3A625634" w14:textId="77777777" w:rsidR="008423E4" w:rsidRPr="00A8133F" w:rsidRDefault="001C5870" w:rsidP="00B957F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991D6D0" w14:textId="77777777" w:rsidR="008423E4" w:rsidRDefault="008423E4" w:rsidP="00B957F2"/>
          <w:p w14:paraId="1AEAE62C" w14:textId="33631A67" w:rsidR="008423E4" w:rsidRDefault="001C5870" w:rsidP="00B957F2">
            <w:pPr>
              <w:pStyle w:val="Header"/>
              <w:jc w:val="both"/>
            </w:pPr>
            <w:r>
              <w:t>Mental health advocates have expressed a</w:t>
            </w:r>
            <w:r w:rsidR="000A2F07">
              <w:t xml:space="preserve"> need for an array of clarifications </w:t>
            </w:r>
            <w:r w:rsidR="00162478">
              <w:t xml:space="preserve">in state law </w:t>
            </w:r>
            <w:r w:rsidR="000A2F07">
              <w:t xml:space="preserve">to help increase safety and access to behavioral health services for Texans undergoing a mental health crisis. </w:t>
            </w:r>
            <w:r w:rsidR="00162478">
              <w:t xml:space="preserve">Specifically, </w:t>
            </w:r>
            <w:r>
              <w:t xml:space="preserve">these advocates suggest </w:t>
            </w:r>
            <w:r w:rsidR="00162478">
              <w:t>moderniz</w:t>
            </w:r>
            <w:r>
              <w:t>ing</w:t>
            </w:r>
            <w:r w:rsidR="00162478">
              <w:t xml:space="preserve"> </w:t>
            </w:r>
            <w:r w:rsidR="002D701D">
              <w:t>procedures</w:t>
            </w:r>
            <w:r w:rsidR="00162478">
              <w:t xml:space="preserve"> </w:t>
            </w:r>
            <w:r>
              <w:t>for</w:t>
            </w:r>
            <w:r w:rsidR="000A2F07">
              <w:t xml:space="preserve"> emergency detention</w:t>
            </w:r>
            <w:r>
              <w:t xml:space="preserve"> and</w:t>
            </w:r>
            <w:r w:rsidR="000A2F07">
              <w:t xml:space="preserve"> </w:t>
            </w:r>
            <w:r>
              <w:t xml:space="preserve">the provision of </w:t>
            </w:r>
            <w:r w:rsidR="000A2F07">
              <w:t xml:space="preserve">court-ordered mental health services. </w:t>
            </w:r>
            <w:r w:rsidR="00162478">
              <w:t xml:space="preserve">C.S.H.B. 3504 seeks to </w:t>
            </w:r>
            <w:r w:rsidR="002D701D">
              <w:t>ensure faster access to care for Texans at their most vulnerable moment by providing for</w:t>
            </w:r>
            <w:r w:rsidR="00162478">
              <w:t xml:space="preserve"> th</w:t>
            </w:r>
            <w:r w:rsidR="006E56F9">
              <w:t xml:space="preserve">is modernization and clarification in emergency detention and court-ordered mental health procedures. </w:t>
            </w:r>
            <w:r w:rsidR="00162478">
              <w:t xml:space="preserve"> </w:t>
            </w:r>
          </w:p>
          <w:p w14:paraId="408CDC15" w14:textId="77777777" w:rsidR="008423E4" w:rsidRPr="00E26B13" w:rsidRDefault="008423E4" w:rsidP="00B957F2">
            <w:pPr>
              <w:rPr>
                <w:b/>
              </w:rPr>
            </w:pPr>
          </w:p>
        </w:tc>
      </w:tr>
      <w:tr w:rsidR="00F77CCA" w14:paraId="40686A2D" w14:textId="77777777" w:rsidTr="00345119">
        <w:tc>
          <w:tcPr>
            <w:tcW w:w="9576" w:type="dxa"/>
          </w:tcPr>
          <w:p w14:paraId="21A1E2B3" w14:textId="77777777" w:rsidR="0017725B" w:rsidRDefault="001C5870" w:rsidP="00B957F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A82A200" w14:textId="77777777" w:rsidR="0017725B" w:rsidRDefault="0017725B" w:rsidP="00B957F2">
            <w:pPr>
              <w:rPr>
                <w:b/>
                <w:u w:val="single"/>
              </w:rPr>
            </w:pPr>
          </w:p>
          <w:p w14:paraId="11FDEE81" w14:textId="55B38F59" w:rsidR="00F24E97" w:rsidRPr="00F24E97" w:rsidRDefault="001C5870" w:rsidP="00B957F2">
            <w:pPr>
              <w:jc w:val="both"/>
            </w:pPr>
            <w:r>
              <w:t>It is the co</w:t>
            </w:r>
            <w:r>
              <w:t>mmittee's opinion that this bill does not expressly create a criminal offense, increase the punishment for an existing criminal offense or category of offenses, or change the eligibility of a person for community supervision, parole, or mandatory supervisi</w:t>
            </w:r>
            <w:r>
              <w:t>on.</w:t>
            </w:r>
          </w:p>
          <w:p w14:paraId="39A314F9" w14:textId="77777777" w:rsidR="0017725B" w:rsidRPr="0017725B" w:rsidRDefault="0017725B" w:rsidP="00B957F2">
            <w:pPr>
              <w:rPr>
                <w:b/>
                <w:u w:val="single"/>
              </w:rPr>
            </w:pPr>
          </w:p>
        </w:tc>
      </w:tr>
      <w:tr w:rsidR="00F77CCA" w14:paraId="6672BDB2" w14:textId="77777777" w:rsidTr="00345119">
        <w:tc>
          <w:tcPr>
            <w:tcW w:w="9576" w:type="dxa"/>
          </w:tcPr>
          <w:p w14:paraId="00BE1266" w14:textId="77777777" w:rsidR="008423E4" w:rsidRPr="00A8133F" w:rsidRDefault="001C5870" w:rsidP="00B957F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D48290" w14:textId="77777777" w:rsidR="008423E4" w:rsidRDefault="008423E4" w:rsidP="00B957F2"/>
          <w:p w14:paraId="0E0F2519" w14:textId="760EFAEF" w:rsidR="00F24E97" w:rsidRDefault="001C5870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CE8B4F3" w14:textId="77777777" w:rsidR="008423E4" w:rsidRPr="00E21FDC" w:rsidRDefault="008423E4" w:rsidP="00B957F2">
            <w:pPr>
              <w:rPr>
                <w:b/>
              </w:rPr>
            </w:pPr>
          </w:p>
        </w:tc>
      </w:tr>
      <w:tr w:rsidR="00F77CCA" w14:paraId="3E66E5D5" w14:textId="77777777" w:rsidTr="00345119">
        <w:tc>
          <w:tcPr>
            <w:tcW w:w="9576" w:type="dxa"/>
          </w:tcPr>
          <w:p w14:paraId="5AE43353" w14:textId="77777777" w:rsidR="008423E4" w:rsidRPr="00A8133F" w:rsidRDefault="001C5870" w:rsidP="00B957F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F91D2F0" w14:textId="77777777" w:rsidR="008423E4" w:rsidRDefault="008423E4" w:rsidP="00B957F2"/>
          <w:p w14:paraId="485DFB12" w14:textId="7EBDB05D" w:rsidR="001A406E" w:rsidRDefault="001C5870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9013CA">
              <w:t xml:space="preserve">H.B. 3504 </w:t>
            </w:r>
            <w:r w:rsidR="00BB68ED">
              <w:t xml:space="preserve">amends the Health and Safety Code to </w:t>
            </w:r>
            <w:r w:rsidR="009013CA">
              <w:t xml:space="preserve">replace </w:t>
            </w:r>
            <w:r w:rsidR="00014250">
              <w:t xml:space="preserve">the </w:t>
            </w:r>
            <w:r w:rsidR="009013CA">
              <w:t xml:space="preserve">authorization for a judge or magistrate to permit an applicant </w:t>
            </w:r>
            <w:r w:rsidR="00F1596E">
              <w:t>who is a physician</w:t>
            </w:r>
            <w:r w:rsidR="00CF7E03">
              <w:t xml:space="preserve"> applying for</w:t>
            </w:r>
            <w:r w:rsidR="00CF7E03" w:rsidRPr="00CF7E03">
              <w:t xml:space="preserve"> </w:t>
            </w:r>
            <w:r w:rsidR="00776D82">
              <w:t>the</w:t>
            </w:r>
            <w:r w:rsidR="00CF7E03" w:rsidRPr="00CF7E03">
              <w:t xml:space="preserve"> emergency detention </w:t>
            </w:r>
            <w:r w:rsidR="00CF7E03">
              <w:t xml:space="preserve">of another person </w:t>
            </w:r>
            <w:r w:rsidR="009013CA">
              <w:t xml:space="preserve">to present </w:t>
            </w:r>
            <w:r w:rsidR="00014250">
              <w:t xml:space="preserve">the </w:t>
            </w:r>
            <w:r w:rsidR="009013CA">
              <w:t xml:space="preserve">application by email or secure electronic means with a requirement for the judge or magistrate to do so. </w:t>
            </w:r>
          </w:p>
          <w:p w14:paraId="39825450" w14:textId="77777777" w:rsidR="001A406E" w:rsidRDefault="001A406E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EEE183F" w14:textId="14649B2F" w:rsidR="009A5BC8" w:rsidRDefault="001C5870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B68ED">
              <w:t>H.B. 3504 i</w:t>
            </w:r>
            <w:r w:rsidR="001A406E">
              <w:t>nclude</w:t>
            </w:r>
            <w:r w:rsidR="00BB68ED">
              <w:t>s</w:t>
            </w:r>
            <w:r w:rsidR="001A406E">
              <w:t xml:space="preserve"> among </w:t>
            </w:r>
            <w:r w:rsidR="00BB68ED">
              <w:t>the</w:t>
            </w:r>
            <w:r w:rsidR="001A406E">
              <w:t xml:space="preserve"> counties </w:t>
            </w:r>
            <w:r w:rsidR="00D25C94">
              <w:t>in</w:t>
            </w:r>
            <w:r w:rsidR="001A406E">
              <w:t xml:space="preserve"> which an application </w:t>
            </w:r>
            <w:r w:rsidR="00BB68ED">
              <w:t xml:space="preserve">for court-ordered mental health services </w:t>
            </w:r>
            <w:r w:rsidR="001A406E">
              <w:t>may be filed with the county clerk</w:t>
            </w:r>
            <w:r w:rsidR="00BB68ED">
              <w:t xml:space="preserve"> </w:t>
            </w:r>
            <w:r w:rsidR="001A406E">
              <w:t xml:space="preserve">the county in which the proposed patient is located at the time the application is filed </w:t>
            </w:r>
            <w:r w:rsidR="00BB68ED">
              <w:t>and</w:t>
            </w:r>
            <w:r w:rsidR="00086B65">
              <w:t xml:space="preserve"> the county in which that patient was apprehended by a peace officer or transport</w:t>
            </w:r>
            <w:r w:rsidR="00F24E97">
              <w:t>ed</w:t>
            </w:r>
            <w:r w:rsidR="00086B65">
              <w:t xml:space="preserve"> by a guardian</w:t>
            </w:r>
            <w:r w:rsidR="00955CA2">
              <w:t>. The bill r</w:t>
            </w:r>
            <w:r w:rsidR="00086B65">
              <w:t>equire</w:t>
            </w:r>
            <w:r w:rsidR="00955CA2">
              <w:t>s</w:t>
            </w:r>
            <w:r w:rsidR="00086B65">
              <w:t xml:space="preserve"> a </w:t>
            </w:r>
            <w:r w:rsidR="00086B65" w:rsidRPr="00086B65">
              <w:t xml:space="preserve">judge or magistrate </w:t>
            </w:r>
            <w:r w:rsidR="00086B65">
              <w:t>to</w:t>
            </w:r>
            <w:r w:rsidR="00086B65" w:rsidRPr="00086B65">
              <w:t xml:space="preserve"> accept an application filed at any time that the judge or magistrate is on duty, regardless of whether the application is filed after 5:00 p.m. on a weekday, on a Saturday or Sunday, or on a state or national holiday.</w:t>
            </w:r>
            <w:r w:rsidR="00CF7E03">
              <w:t xml:space="preserve"> </w:t>
            </w:r>
            <w:r w:rsidR="005B0B53">
              <w:t>The bill requires a</w:t>
            </w:r>
            <w:r w:rsidR="005B0B53" w:rsidRPr="00086B65">
              <w:t xml:space="preserve"> court </w:t>
            </w:r>
            <w:r w:rsidR="005B0B53">
              <w:t>to</w:t>
            </w:r>
            <w:r w:rsidR="005B0B53" w:rsidRPr="00086B65">
              <w:t xml:space="preserve"> allow</w:t>
            </w:r>
            <w:r w:rsidR="005B0B53">
              <w:t xml:space="preserve"> a qualifying</w:t>
            </w:r>
            <w:r w:rsidR="005B0B53" w:rsidRPr="00086B65">
              <w:t xml:space="preserve"> application</w:t>
            </w:r>
            <w:r w:rsidR="005B0B53">
              <w:t xml:space="preserve"> </w:t>
            </w:r>
            <w:r w:rsidR="005B0B53" w:rsidRPr="00BB68ED">
              <w:t>for court</w:t>
            </w:r>
            <w:r w:rsidR="005B0B53">
              <w:t>-</w:t>
            </w:r>
            <w:r w:rsidR="005B0B53" w:rsidRPr="00BB68ED">
              <w:t>ordered mental health services</w:t>
            </w:r>
            <w:r w:rsidR="005B0B53">
              <w:t xml:space="preserve"> and a motion for an order of protective custody </w:t>
            </w:r>
            <w:r w:rsidR="005B0B53" w:rsidRPr="00086B65">
              <w:t xml:space="preserve">to be filed in the same manner as any other document filed with the court, including through the use of </w:t>
            </w:r>
            <w:r w:rsidR="005B0B53">
              <w:t xml:space="preserve">the statewide </w:t>
            </w:r>
            <w:r w:rsidR="005B0B53" w:rsidRPr="00086B65">
              <w:t>electronic filing system</w:t>
            </w:r>
            <w:r w:rsidR="005B0B53">
              <w:t>, if applicable</w:t>
            </w:r>
            <w:r w:rsidR="005B0B53" w:rsidRPr="00086B65">
              <w:t>.</w:t>
            </w:r>
          </w:p>
          <w:p w14:paraId="78278D5E" w14:textId="368C1A79" w:rsidR="009A5BC8" w:rsidRDefault="009A5BC8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91023D0" w14:textId="7BF89EB5" w:rsidR="009A5BC8" w:rsidRDefault="001C5870" w:rsidP="00B957F2">
            <w:pPr>
              <w:pStyle w:val="Header"/>
              <w:jc w:val="both"/>
            </w:pPr>
            <w:r>
              <w:t>C.S.H.B. 3504 requires a local mental health aut</w:t>
            </w:r>
            <w:r>
              <w:t xml:space="preserve">hority in the county in which an application for court-ordered mental health services is filed who does not recommend that a proposed patient be committed, as part of the recommendation that must be filed with the applicable court: </w:t>
            </w:r>
          </w:p>
          <w:p w14:paraId="622713F6" w14:textId="60C1BC8F" w:rsidR="009A5BC8" w:rsidRDefault="001C5870" w:rsidP="00B957F2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to include </w:t>
            </w:r>
            <w:r w:rsidR="00C0689B">
              <w:t xml:space="preserve">the requisite information included in </w:t>
            </w:r>
            <w:r>
              <w:t>a</w:t>
            </w:r>
            <w:r w:rsidRPr="001D4201">
              <w:t xml:space="preserve"> certificate of medical examination for mental illness</w:t>
            </w:r>
            <w:r>
              <w:t xml:space="preserve">; and </w:t>
            </w:r>
          </w:p>
          <w:p w14:paraId="37E05E5D" w14:textId="416F33E8" w:rsidR="009A5BC8" w:rsidRDefault="001C5870" w:rsidP="00B957F2">
            <w:pPr>
              <w:pStyle w:val="Header"/>
              <w:numPr>
                <w:ilvl w:val="0"/>
                <w:numId w:val="5"/>
              </w:numPr>
              <w:jc w:val="both"/>
            </w:pPr>
            <w:r w:rsidRPr="001D4201">
              <w:t>identify the criteria for commitment that the proposed patient does not satisfy and include the facts on which that determination is based</w:t>
            </w:r>
            <w:r>
              <w:t>.</w:t>
            </w:r>
          </w:p>
          <w:p w14:paraId="72EEF511" w14:textId="143CF81E" w:rsidR="009A5BC8" w:rsidRDefault="001C5870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prohibits a</w:t>
            </w:r>
            <w:r w:rsidRPr="00CF4082">
              <w:t xml:space="preserve"> court </w:t>
            </w:r>
            <w:r>
              <w:t>f</w:t>
            </w:r>
            <w:r>
              <w:t>rom</w:t>
            </w:r>
            <w:r w:rsidRPr="00CF4082">
              <w:t xml:space="preserve"> consider</w:t>
            </w:r>
            <w:r>
              <w:t>ing</w:t>
            </w:r>
            <w:r w:rsidRPr="00CF4082">
              <w:t xml:space="preserve"> a recommendation from a local mental health authority if the authority's recommendation fails to comply with </w:t>
            </w:r>
            <w:r w:rsidR="005B0B53">
              <w:t xml:space="preserve">filing </w:t>
            </w:r>
            <w:r w:rsidRPr="00CF4082">
              <w:t>requirements</w:t>
            </w:r>
            <w:r>
              <w:t xml:space="preserve"> </w:t>
            </w:r>
            <w:r w:rsidRPr="00CF4082">
              <w:t xml:space="preserve">and, to the extent applicable, </w:t>
            </w:r>
            <w:r w:rsidR="00215A79">
              <w:t>the bill's requirements relating to a recommendation that a proposed patient not be committed</w:t>
            </w:r>
            <w:r>
              <w:t>.</w:t>
            </w:r>
            <w:r w:rsidR="005B0B53">
              <w:t xml:space="preserve"> The bill establishes that a motion for an order of protective custody </w:t>
            </w:r>
            <w:r w:rsidR="0078580D">
              <w:t xml:space="preserve">is not required </w:t>
            </w:r>
            <w:r w:rsidR="005B0B53" w:rsidRPr="00CF4082">
              <w:t>to include a recommendation from a local mental health authority</w:t>
            </w:r>
            <w:r w:rsidR="005B0B53">
              <w:t>.</w:t>
            </w:r>
          </w:p>
          <w:p w14:paraId="0A7B92C4" w14:textId="3AA18CA1" w:rsidR="00086B65" w:rsidRDefault="00086B65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5A58BA9" w14:textId="7457215C" w:rsidR="0078580D" w:rsidRDefault="001C5870" w:rsidP="00B957F2">
            <w:pPr>
              <w:pStyle w:val="Header"/>
              <w:jc w:val="both"/>
            </w:pPr>
            <w:r>
              <w:t>C.S.</w:t>
            </w:r>
            <w:r w:rsidR="00BB68ED">
              <w:t xml:space="preserve">H.B. 3504 </w:t>
            </w:r>
            <w:r w:rsidR="00D67012">
              <w:t xml:space="preserve">replaces </w:t>
            </w:r>
            <w:r w:rsidR="00C0689B">
              <w:t>the</w:t>
            </w:r>
            <w:r w:rsidR="00D67012">
              <w:t xml:space="preserve"> authorization for a judge or designated magistrate to issue a protective custody order if the judge or magistrate determines that a physician has stated the physician</w:t>
            </w:r>
            <w:r w:rsidR="003900BF">
              <w:t>'</w:t>
            </w:r>
            <w:r w:rsidR="00D67012">
              <w:t xml:space="preserve">s opinion and the detailed reasons for the opinion that the proposed patient is a person with mental illness and </w:t>
            </w:r>
            <w:r w:rsidR="00C0689B">
              <w:t xml:space="preserve">the patient </w:t>
            </w:r>
            <w:r w:rsidR="00D67012">
              <w:t>presents a substantial risk of serious harm to the patient or others if not immediately restrained pending the hearing with a requirement for the judge or magistrate to do so. The bill</w:t>
            </w:r>
            <w:r w:rsidR="00C42DC9">
              <w:t xml:space="preserve"> replaces the authori</w:t>
            </w:r>
            <w:r w:rsidR="00A77DAA">
              <w:t>zation</w:t>
            </w:r>
            <w:r w:rsidR="00C42DC9">
              <w:t xml:space="preserve"> </w:t>
            </w:r>
            <w:r w:rsidR="0062304D">
              <w:t>for</w:t>
            </w:r>
            <w:r w:rsidR="00C42DC9">
              <w:t xml:space="preserve"> such </w:t>
            </w:r>
            <w:r w:rsidR="00C0689B">
              <w:t xml:space="preserve">a </w:t>
            </w:r>
            <w:r w:rsidR="00C42DC9">
              <w:t xml:space="preserve">judge or magistrate </w:t>
            </w:r>
            <w:r w:rsidR="00C0689B">
              <w:t>to take additional evidence if a fair determination of the matter cannot be made from consideration of the application and certificate only with a requirement for the judge or magistrate to set a hearing date and take additional evidence under the same condition</w:t>
            </w:r>
            <w:r w:rsidR="00C42DC9">
              <w:t xml:space="preserve">. </w:t>
            </w:r>
            <w:r w:rsidR="00D67012">
              <w:t xml:space="preserve">The bill </w:t>
            </w:r>
            <w:r w:rsidR="00955CA2">
              <w:t>prohibits a</w:t>
            </w:r>
            <w:r w:rsidR="00955CA2" w:rsidRPr="00955CA2">
              <w:t xml:space="preserve"> judge or magistrate </w:t>
            </w:r>
            <w:r w:rsidR="00955CA2">
              <w:t>from</w:t>
            </w:r>
            <w:r w:rsidR="00955CA2" w:rsidRPr="00955CA2">
              <w:t xml:space="preserve"> deny</w:t>
            </w:r>
            <w:r w:rsidR="00D250C0">
              <w:t>ing</w:t>
            </w:r>
            <w:r w:rsidR="00955CA2" w:rsidRPr="00955CA2">
              <w:t xml:space="preserve"> a motion for a protective custody order solely on the basis that the proposed patient was not emergency detained under</w:t>
            </w:r>
            <w:r w:rsidR="00955CA2">
              <w:t xml:space="preserve"> statutory provisions for emergency detention</w:t>
            </w:r>
            <w:r w:rsidR="00955CA2" w:rsidRPr="00955CA2">
              <w:t xml:space="preserve"> at the time that an application for court-ordered mental health services was filed.</w:t>
            </w:r>
            <w:r>
              <w:t xml:space="preserve"> The bill prohibits a</w:t>
            </w:r>
            <w:r w:rsidRPr="00B12260">
              <w:t xml:space="preserve"> judge </w:t>
            </w:r>
            <w:r>
              <w:t>from</w:t>
            </w:r>
            <w:r w:rsidRPr="00B12260">
              <w:t xml:space="preserve"> declin</w:t>
            </w:r>
            <w:r>
              <w:t>ing</w:t>
            </w:r>
            <w:r w:rsidRPr="00B12260">
              <w:t xml:space="preserve"> to appoint an attorney to represent a proposed patient</w:t>
            </w:r>
            <w:r>
              <w:t xml:space="preserve"> for court-ordered mental health services</w:t>
            </w:r>
            <w:r w:rsidRPr="00B12260">
              <w:t xml:space="preserve"> because the judge perceives or kn</w:t>
            </w:r>
            <w:r w:rsidRPr="00B12260">
              <w:t>ows that the patient is not indigent.</w:t>
            </w:r>
          </w:p>
          <w:p w14:paraId="4E140C7C" w14:textId="722FDFB7" w:rsidR="00D250C0" w:rsidRDefault="00D250C0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9F2CC76" w14:textId="21AE7C69" w:rsidR="00D250C0" w:rsidRDefault="001C5870" w:rsidP="00B957F2">
            <w:pPr>
              <w:pStyle w:val="Header"/>
              <w:jc w:val="both"/>
            </w:pPr>
            <w:r>
              <w:t xml:space="preserve">C.S.H.B. 3504 requires </w:t>
            </w:r>
            <w:r w:rsidR="00CF7E03">
              <w:t>a</w:t>
            </w:r>
            <w:r>
              <w:t xml:space="preserve"> court to allow competent medical or psychiatric testimony </w:t>
            </w:r>
            <w:r w:rsidR="00972DAB">
              <w:t>i</w:t>
            </w:r>
            <w:r w:rsidR="00972DAB" w:rsidRPr="00D250C0">
              <w:t>n a hearing for temporary inpatient or outpatient mental health services</w:t>
            </w:r>
            <w:r>
              <w:t xml:space="preserve"> to be provided by closed-circuit video teleconferencing </w:t>
            </w:r>
            <w:r w:rsidR="00A71A40">
              <w:t>under the following conditions</w:t>
            </w:r>
            <w:r>
              <w:t>:</w:t>
            </w:r>
          </w:p>
          <w:p w14:paraId="3DF3305D" w14:textId="01D8C4F0" w:rsidR="00D250C0" w:rsidRDefault="001C5870" w:rsidP="00B957F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closed-circuit video teleconferencing is available to the court for that purpose;</w:t>
            </w:r>
          </w:p>
          <w:p w14:paraId="6A16D7D1" w14:textId="4CEF65E6" w:rsidR="00D250C0" w:rsidRDefault="001C5870" w:rsidP="00B957F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court has good cause to not conduct in-person testimony, including that conducting the testimony through closed-circuit video teleconferencing</w:t>
            </w:r>
            <w:r>
              <w:t xml:space="preserve"> would minimize the disruption of care to the testifying person's other patients; and</w:t>
            </w:r>
          </w:p>
          <w:p w14:paraId="31A6542F" w14:textId="17250F6F" w:rsidR="00D250C0" w:rsidRDefault="001C5870" w:rsidP="00B957F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closed-circuit video teleconferencing system provides for a simultaneous, compressed full-motion video and interactive communication of image and sound between all </w:t>
            </w:r>
            <w:r>
              <w:t>persons involved in the proceedings.</w:t>
            </w:r>
          </w:p>
          <w:p w14:paraId="03F2608F" w14:textId="6C34658F" w:rsidR="006F1E2B" w:rsidRDefault="006F1E2B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52834F2" w14:textId="01973432" w:rsidR="00865ABA" w:rsidRDefault="001C5870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3504 </w:t>
            </w:r>
            <w:r w:rsidR="00B71402">
              <w:t xml:space="preserve">authorizes </w:t>
            </w:r>
            <w:r w:rsidR="00B71402" w:rsidRPr="00ED2297">
              <w:t>a physician who completed a certificate of medical examination</w:t>
            </w:r>
            <w:r w:rsidR="00172CB0">
              <w:t xml:space="preserve"> for mental illness</w:t>
            </w:r>
            <w:r w:rsidR="00B71402">
              <w:t xml:space="preserve"> to determine a suitable mental health facility for a person who is ordered to be taken into protective custody and transported to a mental health facility. The bill includes </w:t>
            </w:r>
            <w:r>
              <w:t xml:space="preserve">an applicant for a protective custody order </w:t>
            </w:r>
            <w:r w:rsidR="00B71402">
              <w:t xml:space="preserve">among the individuals required </w:t>
            </w:r>
            <w:r>
              <w:t xml:space="preserve">to have an opportunity </w:t>
            </w:r>
            <w:r w:rsidR="00232FA8">
              <w:t xml:space="preserve">to appear and present evidence </w:t>
            </w:r>
            <w:r>
              <w:t xml:space="preserve">at </w:t>
            </w:r>
            <w:r w:rsidR="00232FA8">
              <w:t xml:space="preserve">a probable cause </w:t>
            </w:r>
            <w:r>
              <w:t xml:space="preserve">hearing </w:t>
            </w:r>
            <w:r w:rsidR="00232FA8">
              <w:t xml:space="preserve">held for purposes of determining whether the proposed patient should remain in protective custody or be released. The bill </w:t>
            </w:r>
            <w:r w:rsidR="003456C3">
              <w:t>r</w:t>
            </w:r>
            <w:r>
              <w:t>equire</w:t>
            </w:r>
            <w:r w:rsidR="00232FA8">
              <w:t>s</w:t>
            </w:r>
            <w:r>
              <w:t xml:space="preserve"> an</w:t>
            </w:r>
            <w:r w:rsidRPr="00865ABA">
              <w:t xml:space="preserve"> order </w:t>
            </w:r>
            <w:r>
              <w:t xml:space="preserve">for </w:t>
            </w:r>
            <w:r w:rsidRPr="00865ABA">
              <w:t xml:space="preserve">the release of a person under a protective custody order </w:t>
            </w:r>
            <w:r>
              <w:t>to</w:t>
            </w:r>
            <w:r w:rsidRPr="00865ABA">
              <w:t xml:space="preserve"> include written findings of fact that no probable cause exists</w:t>
            </w:r>
            <w:r w:rsidR="00232FA8">
              <w:t xml:space="preserve">. </w:t>
            </w:r>
            <w:r w:rsidR="00A813DA">
              <w:t xml:space="preserve">The bill establishes that an order for the release of a person under </w:t>
            </w:r>
            <w:r w:rsidR="00976742">
              <w:t xml:space="preserve">a </w:t>
            </w:r>
            <w:r w:rsidR="00A813DA">
              <w:t>protective custody order is immediately appealable under standard post-commitment appeal procedures.</w:t>
            </w:r>
          </w:p>
          <w:p w14:paraId="1793E887" w14:textId="204C41E9" w:rsidR="00232FA8" w:rsidRDefault="00232FA8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1C0AB73" w14:textId="679A5DB9" w:rsidR="00A813DA" w:rsidRDefault="001C5870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3504 removes as a condition that triggers a facility administrator's duty to discharge a person h</w:t>
            </w:r>
            <w:r>
              <w:t xml:space="preserve">eld under a custody order that the facility administrator </w:t>
            </w:r>
            <w:r w:rsidR="009D3B09">
              <w:t>has not</w:t>
            </w:r>
            <w:r>
              <w:t xml:space="preserve"> received notice that the person's continued detention is authorized after the hearing within 72 hours after the detention began, excluding certain days, a prescribed period, or extreme emerg</w:t>
            </w:r>
            <w:r>
              <w:t xml:space="preserve">encies. The bill includes as a condition that triggers the facility administrator's duty </w:t>
            </w:r>
            <w:r w:rsidR="009D3B09">
              <w:t xml:space="preserve">to discharge such a person </w:t>
            </w:r>
            <w:r>
              <w:t xml:space="preserve">that the facility administrator receives an order for the release from which no appeal has been filed. </w:t>
            </w:r>
          </w:p>
          <w:p w14:paraId="61620EC8" w14:textId="3BCD80A8" w:rsidR="00A813DA" w:rsidRDefault="00A813DA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342D014" w14:textId="39B50BB3" w:rsidR="00D8758D" w:rsidRDefault="001C5870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3504</w:t>
            </w:r>
            <w:r w:rsidR="004F4E86">
              <w:t xml:space="preserve"> requires an order </w:t>
            </w:r>
            <w:r w:rsidR="004F4E86" w:rsidRPr="004F4E86">
              <w:t>denying an application for court-ordered temporary or extended mental health services</w:t>
            </w:r>
            <w:r w:rsidR="00035641">
              <w:t xml:space="preserve"> to include written findings of fact on which the order is based and establishes that the</w:t>
            </w:r>
            <w:r w:rsidR="00035641" w:rsidRPr="00035641">
              <w:t xml:space="preserve"> order is immediately appealable under standard post-commitment appeal</w:t>
            </w:r>
            <w:r w:rsidR="00035641">
              <w:t xml:space="preserve"> procedures.</w:t>
            </w:r>
            <w:r>
              <w:t xml:space="preserve"> The bill requires an appeal from an order denying </w:t>
            </w:r>
            <w:r w:rsidRPr="00631102">
              <w:t>court-ordered mental health services</w:t>
            </w:r>
            <w:r>
              <w:t xml:space="preserve"> to </w:t>
            </w:r>
            <w:r w:rsidRPr="00631102">
              <w:t>be filed in the court of appeals for the county in which the order is entered</w:t>
            </w:r>
            <w:r>
              <w:t>. The bill conditions a trial judge</w:t>
            </w:r>
            <w:r w:rsidR="00976742">
              <w:t>'</w:t>
            </w:r>
            <w:r>
              <w:t xml:space="preserve">s </w:t>
            </w:r>
            <w:r w:rsidR="00D26794">
              <w:t xml:space="preserve">authority </w:t>
            </w:r>
            <w:r>
              <w:t xml:space="preserve">pending the appeal of an order </w:t>
            </w:r>
            <w:r w:rsidR="003B6B68">
              <w:t xml:space="preserve">requiring or denying court-ordered mental health services </w:t>
            </w:r>
            <w:r w:rsidR="00E90A5F">
              <w:t xml:space="preserve">to </w:t>
            </w:r>
            <w:r w:rsidR="00156500">
              <w:t xml:space="preserve">stay the order and release the patient from custody before the appeal </w:t>
            </w:r>
            <w:r w:rsidR="00D26794">
              <w:t xml:space="preserve">or </w:t>
            </w:r>
            <w:r w:rsidR="00156500" w:rsidRPr="00156500">
              <w:t xml:space="preserve">require an appearance bond </w:t>
            </w:r>
            <w:r>
              <w:t>o</w:t>
            </w:r>
            <w:r w:rsidR="00156500">
              <w:t xml:space="preserve">n the entering of findings of fact based </w:t>
            </w:r>
            <w:r w:rsidR="003B6B68">
              <w:t xml:space="preserve">on </w:t>
            </w:r>
            <w:r w:rsidR="00156500">
              <w:t>evidence presented at the hearing.</w:t>
            </w:r>
          </w:p>
          <w:p w14:paraId="0A74C348" w14:textId="77777777" w:rsidR="00035641" w:rsidRDefault="00035641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58F3FE7" w14:textId="1B75AF44" w:rsidR="006F1E2B" w:rsidRPr="009C36CD" w:rsidRDefault="001C5870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3504 applies o</w:t>
            </w:r>
            <w:r>
              <w:t xml:space="preserve">nly to an emergency detention that begins on or after the bill's effective date; an application for court-ordered mental health services submitted on or after that date; or a proceeding for court-ordered mental health services that occurs on or after that </w:t>
            </w:r>
            <w:r>
              <w:t>date, as applicable.</w:t>
            </w:r>
          </w:p>
          <w:p w14:paraId="3D45EB76" w14:textId="77777777" w:rsidR="008423E4" w:rsidRPr="00835628" w:rsidRDefault="008423E4" w:rsidP="00B957F2">
            <w:pPr>
              <w:rPr>
                <w:b/>
              </w:rPr>
            </w:pPr>
          </w:p>
        </w:tc>
      </w:tr>
      <w:tr w:rsidR="00F77CCA" w14:paraId="14D5BAC9" w14:textId="77777777" w:rsidTr="00345119">
        <w:tc>
          <w:tcPr>
            <w:tcW w:w="9576" w:type="dxa"/>
          </w:tcPr>
          <w:p w14:paraId="0C8BFFAA" w14:textId="77777777" w:rsidR="008423E4" w:rsidRPr="00A8133F" w:rsidRDefault="001C5870" w:rsidP="00B957F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DBC3B8" w14:textId="77777777" w:rsidR="008423E4" w:rsidRDefault="008423E4" w:rsidP="00B957F2"/>
          <w:p w14:paraId="16F05512" w14:textId="0B65641F" w:rsidR="008423E4" w:rsidRPr="003624F2" w:rsidRDefault="001C5870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24E97">
              <w:t>September 1, 2023</w:t>
            </w:r>
            <w:r w:rsidR="00D25C94">
              <w:t>.</w:t>
            </w:r>
          </w:p>
          <w:p w14:paraId="1CFC4452" w14:textId="77777777" w:rsidR="008423E4" w:rsidRPr="00233FDB" w:rsidRDefault="008423E4" w:rsidP="00B957F2">
            <w:pPr>
              <w:rPr>
                <w:b/>
              </w:rPr>
            </w:pPr>
          </w:p>
        </w:tc>
      </w:tr>
      <w:tr w:rsidR="00F77CCA" w14:paraId="7EBEC3EB" w14:textId="77777777" w:rsidTr="00345119">
        <w:tc>
          <w:tcPr>
            <w:tcW w:w="9576" w:type="dxa"/>
          </w:tcPr>
          <w:p w14:paraId="1D705424" w14:textId="77777777" w:rsidR="0079721C" w:rsidRDefault="001C5870" w:rsidP="00B957F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8F9273B" w14:textId="77777777" w:rsidR="00480837" w:rsidRDefault="00480837" w:rsidP="00B957F2">
            <w:pPr>
              <w:jc w:val="both"/>
            </w:pPr>
          </w:p>
          <w:p w14:paraId="10729D90" w14:textId="03CD9F5F" w:rsidR="00480837" w:rsidRDefault="001C5870" w:rsidP="00B957F2">
            <w:pPr>
              <w:jc w:val="both"/>
            </w:pPr>
            <w:r>
              <w:t>While C.S.H.B. 3504 may differ from the introduced in minor or nonsubstantive</w:t>
            </w:r>
            <w:r>
              <w:t xml:space="preserve"> ways, the following summarizes the substantial differences between the introduced and committee substitute versions of the bill.</w:t>
            </w:r>
          </w:p>
          <w:p w14:paraId="6725B2EE" w14:textId="77777777" w:rsidR="00081BB0" w:rsidRDefault="00081BB0" w:rsidP="00B957F2">
            <w:pPr>
              <w:jc w:val="both"/>
            </w:pPr>
          </w:p>
          <w:p w14:paraId="26424360" w14:textId="03AACCD8" w:rsidR="009026E6" w:rsidRDefault="001C5870" w:rsidP="00B957F2">
            <w:pPr>
              <w:jc w:val="both"/>
            </w:pPr>
            <w:r>
              <w:t xml:space="preserve">The substitute includes </w:t>
            </w:r>
            <w:r w:rsidR="00081BB0">
              <w:t xml:space="preserve">the following </w:t>
            </w:r>
            <w:r>
              <w:t xml:space="preserve">provisions absent </w:t>
            </w:r>
            <w:r w:rsidR="00A77DAA">
              <w:t xml:space="preserve">in </w:t>
            </w:r>
            <w:r>
              <w:t xml:space="preserve">the introduced: </w:t>
            </w:r>
          </w:p>
          <w:p w14:paraId="1DC553BA" w14:textId="718EB694" w:rsidR="009026E6" w:rsidRDefault="001C5870" w:rsidP="00B957F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a prohibition against</w:t>
            </w:r>
            <w:r>
              <w:t xml:space="preserve"> a judge declining to appoint an attorney to represent a proposed patient for court-ordered mental health services because the judge perceives or knows that the patient is not indigent;</w:t>
            </w:r>
          </w:p>
          <w:p w14:paraId="7E201E7F" w14:textId="05639935" w:rsidR="009026E6" w:rsidRDefault="001C5870" w:rsidP="00B957F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a requirement for a local mental health authority in </w:t>
            </w:r>
            <w:r w:rsidR="008167CF">
              <w:t xml:space="preserve">a </w:t>
            </w:r>
            <w:r>
              <w:t>county in which</w:t>
            </w:r>
            <w:r>
              <w:t xml:space="preserve"> an application for court</w:t>
            </w:r>
            <w:r w:rsidR="000F3E1F">
              <w:t>-</w:t>
            </w:r>
            <w:r>
              <w:t>ordered mental health services is filed who does not recommend that a proposed patient be committed</w:t>
            </w:r>
            <w:r w:rsidR="000F3E1F">
              <w:t xml:space="preserve"> to include specified information</w:t>
            </w:r>
            <w:r>
              <w:t xml:space="preserve"> as part of the recommendation </w:t>
            </w:r>
            <w:r w:rsidR="000F3E1F">
              <w:t>that must be filed with the court</w:t>
            </w:r>
            <w:r>
              <w:t>;</w:t>
            </w:r>
          </w:p>
          <w:p w14:paraId="0417B5EF" w14:textId="0AFF42D5" w:rsidR="000F3E1F" w:rsidRDefault="001C5870" w:rsidP="00B957F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a prohibition against a court co</w:t>
            </w:r>
            <w:r>
              <w:t>nsidering a recommendation from a local mental health authority if the authority's recommendation fails to comply with statutory filing requirements and, to the extent applicable, the requirement for a local mental health authority who does not recommend t</w:t>
            </w:r>
            <w:r>
              <w:t>hat a proposed patient be committed as added by the substitute; and</w:t>
            </w:r>
          </w:p>
          <w:p w14:paraId="4AE597AE" w14:textId="73DF5F0B" w:rsidR="009026E6" w:rsidRDefault="001C5870" w:rsidP="00B957F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a provision establishing that a motion for an order of protective custody is not required to include a recommendation from a local mental health authority.</w:t>
            </w:r>
          </w:p>
          <w:p w14:paraId="4AF3D6B0" w14:textId="578EF0FD" w:rsidR="005D08F2" w:rsidRDefault="005D08F2" w:rsidP="00B957F2">
            <w:pPr>
              <w:jc w:val="both"/>
            </w:pPr>
          </w:p>
          <w:p w14:paraId="28FFAC4A" w14:textId="4B4D04ED" w:rsidR="000F3E1F" w:rsidRDefault="001C5870" w:rsidP="00B957F2">
            <w:pPr>
              <w:jc w:val="both"/>
            </w:pPr>
            <w:r>
              <w:t>The substitute makes the follow</w:t>
            </w:r>
            <w:r>
              <w:t xml:space="preserve">ing changes to statutory </w:t>
            </w:r>
            <w:r w:rsidR="00A77DAA">
              <w:t>authorizations</w:t>
            </w:r>
            <w:r>
              <w:t xml:space="preserve">, which were not made in the introduced: </w:t>
            </w:r>
          </w:p>
          <w:p w14:paraId="3FFB1B5A" w14:textId="4BD50806" w:rsidR="005D08F2" w:rsidRDefault="001C5870" w:rsidP="00B957F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the substitute </w:t>
            </w:r>
            <w:r w:rsidRPr="005D08F2">
              <w:t>replace</w:t>
            </w:r>
            <w:r>
              <w:t>s</w:t>
            </w:r>
            <w:r w:rsidRPr="005D08F2">
              <w:t xml:space="preserve"> </w:t>
            </w:r>
            <w:r>
              <w:t>the</w:t>
            </w:r>
            <w:r w:rsidRPr="005D08F2">
              <w:t xml:space="preserve"> authorization for a judge or designated magistrate to issue a protective custody order if the judge or magistrate </w:t>
            </w:r>
            <w:r>
              <w:t xml:space="preserve">makes certain determinations </w:t>
            </w:r>
            <w:r w:rsidRPr="005D08F2">
              <w:t>with</w:t>
            </w:r>
            <w:r w:rsidRPr="005D08F2">
              <w:t xml:space="preserve"> a requirement for the judge or magistrate to do so</w:t>
            </w:r>
            <w:r>
              <w:t>; and</w:t>
            </w:r>
          </w:p>
          <w:p w14:paraId="159B28E3" w14:textId="43AECE5E" w:rsidR="005D08F2" w:rsidRDefault="001C5870" w:rsidP="00B957F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the substitute </w:t>
            </w:r>
            <w:r w:rsidRPr="005D08F2">
              <w:t>replace</w:t>
            </w:r>
            <w:r>
              <w:t>s</w:t>
            </w:r>
            <w:r w:rsidR="000F4191">
              <w:t xml:space="preserve"> the</w:t>
            </w:r>
            <w:r w:rsidRPr="005D08F2">
              <w:t xml:space="preserve"> </w:t>
            </w:r>
            <w:r w:rsidR="000F4191" w:rsidRPr="000F4191">
              <w:t>authorization for such a judge or magistrate to take additional evidence if a fair determination of the matter cannot be made from consideration of the application and certificate only with a requirement for the judge or magistrate to set a hearing date and take additional evidence under the same condition</w:t>
            </w:r>
            <w:r>
              <w:t>.</w:t>
            </w:r>
          </w:p>
          <w:p w14:paraId="27418CF6" w14:textId="0CDE1D0A" w:rsidR="00081BB0" w:rsidRDefault="00081BB0" w:rsidP="00B957F2">
            <w:pPr>
              <w:jc w:val="both"/>
            </w:pPr>
          </w:p>
          <w:p w14:paraId="6A33765D" w14:textId="1026B7CF" w:rsidR="00A77DAA" w:rsidRDefault="001C5870" w:rsidP="00B957F2">
            <w:pPr>
              <w:jc w:val="both"/>
            </w:pPr>
            <w:r>
              <w:t>The substitute includes the following provisions absent in the introduced:</w:t>
            </w:r>
          </w:p>
          <w:p w14:paraId="3B36D160" w14:textId="6D190141" w:rsidR="006C355D" w:rsidRDefault="001C5870" w:rsidP="00B957F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authorization for </w:t>
            </w:r>
            <w:r w:rsidRPr="00ED2297">
              <w:t>a physician who compl</w:t>
            </w:r>
            <w:r w:rsidRPr="00ED2297">
              <w:t>eted a certificate of medical examination</w:t>
            </w:r>
            <w:r w:rsidR="000F4191">
              <w:t xml:space="preserve"> for mental illness</w:t>
            </w:r>
            <w:r>
              <w:t xml:space="preserve"> to determine a suitable mental health facility for a person who is ordered to be taken into protective custody and transported to a mental health facility;</w:t>
            </w:r>
          </w:p>
          <w:p w14:paraId="410B316F" w14:textId="0D1FA90A" w:rsidR="006C355D" w:rsidRDefault="001C5870" w:rsidP="00B957F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provision that includes an applicant </w:t>
            </w:r>
            <w:r>
              <w:t>for a protective custody order among the individuals who must have an opportunity to appear and present evidence at a probable cause hearing;</w:t>
            </w:r>
            <w:r w:rsidR="00DB15ED">
              <w:t xml:space="preserve"> and</w:t>
            </w:r>
          </w:p>
          <w:p w14:paraId="657435D4" w14:textId="12A4A9CB" w:rsidR="006C355D" w:rsidRDefault="001C5870" w:rsidP="00B957F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a requirement for an</w:t>
            </w:r>
            <w:r w:rsidRPr="00865ABA">
              <w:t xml:space="preserve"> order </w:t>
            </w:r>
            <w:r>
              <w:t xml:space="preserve">issued by a magistrate or associate judge for </w:t>
            </w:r>
            <w:r w:rsidRPr="00865ABA">
              <w:t>the release of a person under a prote</w:t>
            </w:r>
            <w:r w:rsidRPr="00865ABA">
              <w:t xml:space="preserve">ctive custody order </w:t>
            </w:r>
            <w:r>
              <w:t>to</w:t>
            </w:r>
            <w:r w:rsidRPr="00865ABA">
              <w:t xml:space="preserve"> include written findings of fact that no probable cause exists</w:t>
            </w:r>
            <w:r w:rsidR="00DB15ED">
              <w:t xml:space="preserve">. </w:t>
            </w:r>
          </w:p>
          <w:p w14:paraId="3A35062E" w14:textId="78B68F1A" w:rsidR="00DB15ED" w:rsidRDefault="00DB15ED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E9CC5EB" w14:textId="4FD65094" w:rsidR="00DB15ED" w:rsidRDefault="001C5870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substitute makes the following changes, which were not made in the introduced:</w:t>
            </w:r>
          </w:p>
          <w:p w14:paraId="3BB373DC" w14:textId="41380607" w:rsidR="00C35913" w:rsidRDefault="001C5870" w:rsidP="00B957F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substitute </w:t>
            </w:r>
            <w:r w:rsidR="00DB15ED" w:rsidRPr="00DB15ED">
              <w:t xml:space="preserve">removes </w:t>
            </w:r>
            <w:r>
              <w:t xml:space="preserve">the statutory </w:t>
            </w:r>
            <w:r w:rsidR="00DB15ED" w:rsidRPr="00DB15ED">
              <w:t xml:space="preserve">condition that triggers a facility administrator's duty to discharge a person held under a </w:t>
            </w:r>
            <w:r w:rsidR="007C11E5">
              <w:t xml:space="preserve">protective </w:t>
            </w:r>
            <w:r w:rsidR="00DB15ED" w:rsidRPr="00DB15ED">
              <w:t xml:space="preserve">custody order that the facility administrator </w:t>
            </w:r>
            <w:r w:rsidR="000F4191">
              <w:t>has not</w:t>
            </w:r>
            <w:r w:rsidR="00DB15ED" w:rsidRPr="00DB15ED">
              <w:t xml:space="preserve"> received notice that the person's continued detention is authorized after the hearing within 72 hours after the detention began, excluding certain days, a prescribed period, or extreme emergencies</w:t>
            </w:r>
            <w:r>
              <w:t>; and</w:t>
            </w:r>
            <w:r w:rsidR="00DB15ED" w:rsidRPr="00DB15ED">
              <w:t xml:space="preserve"> </w:t>
            </w:r>
          </w:p>
          <w:p w14:paraId="1787CF59" w14:textId="68D4B58E" w:rsidR="00DB15ED" w:rsidRDefault="001C5870" w:rsidP="00B957F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substitute </w:t>
            </w:r>
            <w:r w:rsidRPr="00DB15ED">
              <w:t>includes as a</w:t>
            </w:r>
            <w:r w:rsidR="000F4191">
              <w:t xml:space="preserve"> condition that triggers the facility administrator's duty to discharge such a person that the facility administrator receives an order for the release from which no appeal has been filed</w:t>
            </w:r>
            <w:r w:rsidRPr="00DB15ED">
              <w:t>.</w:t>
            </w:r>
          </w:p>
          <w:p w14:paraId="57A90654" w14:textId="194009D2" w:rsidR="00C35913" w:rsidRDefault="001C5870" w:rsidP="00B957F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  <w:p w14:paraId="41FEE716" w14:textId="78859919" w:rsidR="00C35913" w:rsidRDefault="001C5870" w:rsidP="00B957F2">
            <w:pPr>
              <w:jc w:val="both"/>
            </w:pPr>
            <w:r>
              <w:t>The substitute includes the following provisions absent in the in</w:t>
            </w:r>
            <w:r>
              <w:t>troduced:</w:t>
            </w:r>
          </w:p>
          <w:p w14:paraId="451388BE" w14:textId="1F85E004" w:rsidR="00CC0DC2" w:rsidRDefault="001C5870" w:rsidP="00B957F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a </w:t>
            </w:r>
            <w:r w:rsidRPr="00CC0DC2">
              <w:t>require</w:t>
            </w:r>
            <w:r>
              <w:t>ment for</w:t>
            </w:r>
            <w:r w:rsidRPr="00CC0DC2">
              <w:t xml:space="preserve"> an order denying an application for court-ordered temporary or extended mental health services to include written findings of fact on which the order is based</w:t>
            </w:r>
            <w:r w:rsidR="0062304D">
              <w:t>;</w:t>
            </w:r>
            <w:r w:rsidRPr="00CC0DC2">
              <w:t xml:space="preserve"> </w:t>
            </w:r>
          </w:p>
          <w:p w14:paraId="7CD131DC" w14:textId="652474BD" w:rsidR="00CC0DC2" w:rsidRDefault="001C5870" w:rsidP="00B957F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a </w:t>
            </w:r>
            <w:r w:rsidRPr="00CC0DC2">
              <w:t>require</w:t>
            </w:r>
            <w:r>
              <w:t>ment</w:t>
            </w:r>
            <w:r w:rsidRPr="00CC0DC2">
              <w:t xml:space="preserve"> </w:t>
            </w:r>
            <w:r w:rsidR="000F4191">
              <w:t xml:space="preserve">for </w:t>
            </w:r>
            <w:r w:rsidRPr="00CC0DC2">
              <w:t>an appeal from an order denying court-ordered men</w:t>
            </w:r>
            <w:r w:rsidRPr="00CC0DC2">
              <w:t>tal health services to be filed in the court of appeals for the county in which the order is entered</w:t>
            </w:r>
            <w:r>
              <w:t>;</w:t>
            </w:r>
            <w:r w:rsidRPr="00CC0DC2">
              <w:t xml:space="preserve"> </w:t>
            </w:r>
            <w:r>
              <w:t>and</w:t>
            </w:r>
          </w:p>
          <w:p w14:paraId="7A97A265" w14:textId="7DB38A9D" w:rsidR="00CC0DC2" w:rsidRDefault="001C5870" w:rsidP="00B957F2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a provision that </w:t>
            </w:r>
            <w:r w:rsidRPr="00CC0DC2">
              <w:t>condition</w:t>
            </w:r>
            <w:r>
              <w:t>s</w:t>
            </w:r>
            <w:r w:rsidRPr="00CC0DC2">
              <w:t xml:space="preserve"> a trial judge</w:t>
            </w:r>
            <w:r w:rsidR="007C11E5">
              <w:t>'</w:t>
            </w:r>
            <w:r w:rsidRPr="00CC0DC2">
              <w:t>s</w:t>
            </w:r>
            <w:r>
              <w:t xml:space="preserve"> statutory authority, </w:t>
            </w:r>
            <w:r w:rsidRPr="00CC0DC2">
              <w:t>pending the appeal of such an order</w:t>
            </w:r>
            <w:r>
              <w:t xml:space="preserve"> of denial, </w:t>
            </w:r>
            <w:r w:rsidRPr="00CC0DC2">
              <w:t>to stay the order and release the pati</w:t>
            </w:r>
            <w:r w:rsidRPr="00CC0DC2">
              <w:t xml:space="preserve">ent from custody before the appeal and require an appearance bond on the entering of findings of fact based </w:t>
            </w:r>
            <w:r w:rsidR="007C11E5">
              <w:t xml:space="preserve">on </w:t>
            </w:r>
            <w:r w:rsidRPr="00CC0DC2">
              <w:t>evidence presented at the hearing.</w:t>
            </w:r>
          </w:p>
          <w:p w14:paraId="4C27DA00" w14:textId="77777777" w:rsidR="00C35913" w:rsidRDefault="00C35913" w:rsidP="00B957F2">
            <w:pPr>
              <w:jc w:val="both"/>
            </w:pPr>
          </w:p>
          <w:p w14:paraId="4B14F9C4" w14:textId="6F7A5C42" w:rsidR="00480837" w:rsidRPr="00480837" w:rsidRDefault="001C5870" w:rsidP="00B957F2">
            <w:pPr>
              <w:jc w:val="both"/>
            </w:pPr>
            <w:r>
              <w:t xml:space="preserve">The substitute includes provisions that establish that an order for the release of a person under </w:t>
            </w:r>
            <w:r w:rsidR="00317FC1">
              <w:t xml:space="preserve">a </w:t>
            </w:r>
            <w:r>
              <w:t>protectiv</w:t>
            </w:r>
            <w:r>
              <w:t>e custody order or denying an application for court-ordered temporary or extended mental health services is immediately appealable under standard post-commitment appeal procedures.</w:t>
            </w:r>
          </w:p>
        </w:tc>
      </w:tr>
      <w:tr w:rsidR="00F77CCA" w14:paraId="020174D8" w14:textId="77777777" w:rsidTr="00345119">
        <w:tc>
          <w:tcPr>
            <w:tcW w:w="9576" w:type="dxa"/>
          </w:tcPr>
          <w:p w14:paraId="798F1ABB" w14:textId="77777777" w:rsidR="0079721C" w:rsidRPr="009C1E9A" w:rsidRDefault="0079721C" w:rsidP="00B957F2">
            <w:pPr>
              <w:rPr>
                <w:b/>
                <w:u w:val="single"/>
              </w:rPr>
            </w:pPr>
          </w:p>
        </w:tc>
      </w:tr>
      <w:tr w:rsidR="00F77CCA" w14:paraId="0C11A440" w14:textId="77777777" w:rsidTr="00345119">
        <w:tc>
          <w:tcPr>
            <w:tcW w:w="9576" w:type="dxa"/>
          </w:tcPr>
          <w:p w14:paraId="5BB36409" w14:textId="77777777" w:rsidR="0079721C" w:rsidRPr="0079721C" w:rsidRDefault="0079721C" w:rsidP="00B957F2">
            <w:pPr>
              <w:jc w:val="both"/>
            </w:pPr>
          </w:p>
        </w:tc>
      </w:tr>
    </w:tbl>
    <w:p w14:paraId="666B5EF3" w14:textId="77777777" w:rsidR="008423E4" w:rsidRPr="00BE0E75" w:rsidRDefault="008423E4" w:rsidP="00B957F2">
      <w:pPr>
        <w:jc w:val="both"/>
        <w:rPr>
          <w:rFonts w:ascii="Arial" w:hAnsi="Arial"/>
          <w:sz w:val="16"/>
          <w:szCs w:val="16"/>
        </w:rPr>
      </w:pPr>
    </w:p>
    <w:p w14:paraId="40267761" w14:textId="77777777" w:rsidR="004108C3" w:rsidRPr="008423E4" w:rsidRDefault="004108C3" w:rsidP="00B957F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4D79" w14:textId="77777777" w:rsidR="00000000" w:rsidRDefault="001C5870">
      <w:r>
        <w:separator/>
      </w:r>
    </w:p>
  </w:endnote>
  <w:endnote w:type="continuationSeparator" w:id="0">
    <w:p w14:paraId="657AC402" w14:textId="77777777" w:rsidR="00000000" w:rsidRDefault="001C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4D7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77CCA" w14:paraId="38202ABA" w14:textId="77777777" w:rsidTr="009C1E9A">
      <w:trPr>
        <w:cantSplit/>
      </w:trPr>
      <w:tc>
        <w:tcPr>
          <w:tcW w:w="0" w:type="pct"/>
        </w:tcPr>
        <w:p w14:paraId="190478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B86D56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B6485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02A6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C4B9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77CCA" w14:paraId="0C94C692" w14:textId="77777777" w:rsidTr="009C1E9A">
      <w:trPr>
        <w:cantSplit/>
      </w:trPr>
      <w:tc>
        <w:tcPr>
          <w:tcW w:w="0" w:type="pct"/>
        </w:tcPr>
        <w:p w14:paraId="4513F92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4A80B3" w14:textId="3BFB8930" w:rsidR="00EC379B" w:rsidRPr="009C1E9A" w:rsidRDefault="001C587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22147-D</w:t>
          </w:r>
        </w:p>
      </w:tc>
      <w:tc>
        <w:tcPr>
          <w:tcW w:w="2453" w:type="pct"/>
        </w:tcPr>
        <w:p w14:paraId="07380E99" w14:textId="0FD8CA68" w:rsidR="00EC379B" w:rsidRDefault="001C587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5405B">
            <w:t>23.96.285</w:t>
          </w:r>
          <w:r>
            <w:fldChar w:fldCharType="end"/>
          </w:r>
        </w:p>
      </w:tc>
    </w:tr>
    <w:tr w:rsidR="00F77CCA" w14:paraId="7F5A8B85" w14:textId="77777777" w:rsidTr="009C1E9A">
      <w:trPr>
        <w:cantSplit/>
      </w:trPr>
      <w:tc>
        <w:tcPr>
          <w:tcW w:w="0" w:type="pct"/>
        </w:tcPr>
        <w:p w14:paraId="4292915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DEFA06" w14:textId="39494A6C" w:rsidR="00EC379B" w:rsidRPr="009C1E9A" w:rsidRDefault="001C587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20512</w:t>
          </w:r>
        </w:p>
      </w:tc>
      <w:tc>
        <w:tcPr>
          <w:tcW w:w="2453" w:type="pct"/>
        </w:tcPr>
        <w:p w14:paraId="042A60D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8D2F05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77CCA" w14:paraId="7A5B5D0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FA778AF" w14:textId="77777777" w:rsidR="00EC379B" w:rsidRDefault="001C587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6CDA5B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E0BF56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2A0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BA71" w14:textId="77777777" w:rsidR="00000000" w:rsidRDefault="001C5870">
      <w:r>
        <w:separator/>
      </w:r>
    </w:p>
  </w:footnote>
  <w:footnote w:type="continuationSeparator" w:id="0">
    <w:p w14:paraId="1FD92315" w14:textId="77777777" w:rsidR="00000000" w:rsidRDefault="001C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D53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7DD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D61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1A1D"/>
    <w:multiLevelType w:val="hybridMultilevel"/>
    <w:tmpl w:val="309C4C8A"/>
    <w:lvl w:ilvl="0" w:tplc="B900E62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832CCF92" w:tentative="1">
      <w:start w:val="1"/>
      <w:numFmt w:val="lowerLetter"/>
      <w:lvlText w:val="%2."/>
      <w:lvlJc w:val="left"/>
      <w:pPr>
        <w:ind w:left="1440" w:hanging="360"/>
      </w:pPr>
    </w:lvl>
    <w:lvl w:ilvl="2" w:tplc="C51A21F8" w:tentative="1">
      <w:start w:val="1"/>
      <w:numFmt w:val="lowerRoman"/>
      <w:lvlText w:val="%3."/>
      <w:lvlJc w:val="right"/>
      <w:pPr>
        <w:ind w:left="2160" w:hanging="180"/>
      </w:pPr>
    </w:lvl>
    <w:lvl w:ilvl="3" w:tplc="692A1088" w:tentative="1">
      <w:start w:val="1"/>
      <w:numFmt w:val="decimal"/>
      <w:lvlText w:val="%4."/>
      <w:lvlJc w:val="left"/>
      <w:pPr>
        <w:ind w:left="2880" w:hanging="360"/>
      </w:pPr>
    </w:lvl>
    <w:lvl w:ilvl="4" w:tplc="843ECFEA" w:tentative="1">
      <w:start w:val="1"/>
      <w:numFmt w:val="lowerLetter"/>
      <w:lvlText w:val="%5."/>
      <w:lvlJc w:val="left"/>
      <w:pPr>
        <w:ind w:left="3600" w:hanging="360"/>
      </w:pPr>
    </w:lvl>
    <w:lvl w:ilvl="5" w:tplc="EB244BDE" w:tentative="1">
      <w:start w:val="1"/>
      <w:numFmt w:val="lowerRoman"/>
      <w:lvlText w:val="%6."/>
      <w:lvlJc w:val="right"/>
      <w:pPr>
        <w:ind w:left="4320" w:hanging="180"/>
      </w:pPr>
    </w:lvl>
    <w:lvl w:ilvl="6" w:tplc="02A03464" w:tentative="1">
      <w:start w:val="1"/>
      <w:numFmt w:val="decimal"/>
      <w:lvlText w:val="%7."/>
      <w:lvlJc w:val="left"/>
      <w:pPr>
        <w:ind w:left="5040" w:hanging="360"/>
      </w:pPr>
    </w:lvl>
    <w:lvl w:ilvl="7" w:tplc="3210D886" w:tentative="1">
      <w:start w:val="1"/>
      <w:numFmt w:val="lowerLetter"/>
      <w:lvlText w:val="%8."/>
      <w:lvlJc w:val="left"/>
      <w:pPr>
        <w:ind w:left="5760" w:hanging="360"/>
      </w:pPr>
    </w:lvl>
    <w:lvl w:ilvl="8" w:tplc="40E03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72F9"/>
    <w:multiLevelType w:val="hybridMultilevel"/>
    <w:tmpl w:val="1BD4E7DA"/>
    <w:lvl w:ilvl="0" w:tplc="954A9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4A8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A6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C2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AA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06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E0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A1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FA1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34AC"/>
    <w:multiLevelType w:val="hybridMultilevel"/>
    <w:tmpl w:val="ECD083EC"/>
    <w:lvl w:ilvl="0" w:tplc="790A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88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EE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20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AB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02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28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63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AE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0A78"/>
    <w:multiLevelType w:val="hybridMultilevel"/>
    <w:tmpl w:val="A7922F54"/>
    <w:lvl w:ilvl="0" w:tplc="C812D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8E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03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A7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CE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1A2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CA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2D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E8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458F0"/>
    <w:multiLevelType w:val="hybridMultilevel"/>
    <w:tmpl w:val="81620AF0"/>
    <w:lvl w:ilvl="0" w:tplc="F8C2C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E8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EE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4D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0F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42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0E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4D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09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03852">
    <w:abstractNumId w:val="1"/>
  </w:num>
  <w:num w:numId="2" w16cid:durableId="997267611">
    <w:abstractNumId w:val="0"/>
  </w:num>
  <w:num w:numId="3" w16cid:durableId="599411969">
    <w:abstractNumId w:val="3"/>
  </w:num>
  <w:num w:numId="4" w16cid:durableId="812530300">
    <w:abstractNumId w:val="2"/>
  </w:num>
  <w:num w:numId="5" w16cid:durableId="1552881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C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250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7DD"/>
    <w:rsid w:val="00027E81"/>
    <w:rsid w:val="00030AD8"/>
    <w:rsid w:val="0003107A"/>
    <w:rsid w:val="00031C95"/>
    <w:rsid w:val="000330D4"/>
    <w:rsid w:val="00033A99"/>
    <w:rsid w:val="00035641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226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77366"/>
    <w:rsid w:val="00080D95"/>
    <w:rsid w:val="00081BB0"/>
    <w:rsid w:val="00086B65"/>
    <w:rsid w:val="00090E6B"/>
    <w:rsid w:val="00091B2C"/>
    <w:rsid w:val="00092ABC"/>
    <w:rsid w:val="00097AAF"/>
    <w:rsid w:val="00097D13"/>
    <w:rsid w:val="000A2F07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7FA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3E1F"/>
    <w:rsid w:val="000F4191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500"/>
    <w:rsid w:val="00156AB2"/>
    <w:rsid w:val="00160402"/>
    <w:rsid w:val="00160571"/>
    <w:rsid w:val="00161E93"/>
    <w:rsid w:val="00162478"/>
    <w:rsid w:val="00162C7A"/>
    <w:rsid w:val="00162DAE"/>
    <w:rsid w:val="001639C5"/>
    <w:rsid w:val="00163E45"/>
    <w:rsid w:val="001664C2"/>
    <w:rsid w:val="00171BF2"/>
    <w:rsid w:val="00172CB0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06E"/>
    <w:rsid w:val="001A4310"/>
    <w:rsid w:val="001B053A"/>
    <w:rsid w:val="001B26D8"/>
    <w:rsid w:val="001B3428"/>
    <w:rsid w:val="001B3BFA"/>
    <w:rsid w:val="001B75B8"/>
    <w:rsid w:val="001C1230"/>
    <w:rsid w:val="001C587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201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A79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FA8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277"/>
    <w:rsid w:val="002C532B"/>
    <w:rsid w:val="002C5713"/>
    <w:rsid w:val="002D05CC"/>
    <w:rsid w:val="002D305A"/>
    <w:rsid w:val="002D701D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FC1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6C3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0BF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5D7F"/>
    <w:rsid w:val="003B66B6"/>
    <w:rsid w:val="003B6B68"/>
    <w:rsid w:val="003B7984"/>
    <w:rsid w:val="003B7AF6"/>
    <w:rsid w:val="003C0411"/>
    <w:rsid w:val="003C1871"/>
    <w:rsid w:val="003C1C55"/>
    <w:rsid w:val="003C25EA"/>
    <w:rsid w:val="003C30D4"/>
    <w:rsid w:val="003C36FD"/>
    <w:rsid w:val="003C3902"/>
    <w:rsid w:val="003C664C"/>
    <w:rsid w:val="003D726D"/>
    <w:rsid w:val="003E0875"/>
    <w:rsid w:val="003E0BB8"/>
    <w:rsid w:val="003E445F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327"/>
    <w:rsid w:val="004324E9"/>
    <w:rsid w:val="00432528"/>
    <w:rsid w:val="004350F3"/>
    <w:rsid w:val="00436980"/>
    <w:rsid w:val="00441016"/>
    <w:rsid w:val="00441F2F"/>
    <w:rsid w:val="0044228B"/>
    <w:rsid w:val="00444A6C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837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E86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7B9"/>
    <w:rsid w:val="00515466"/>
    <w:rsid w:val="005154F7"/>
    <w:rsid w:val="005159DE"/>
    <w:rsid w:val="005269CE"/>
    <w:rsid w:val="005304B2"/>
    <w:rsid w:val="005336BD"/>
    <w:rsid w:val="00534A49"/>
    <w:rsid w:val="005353FE"/>
    <w:rsid w:val="005363BB"/>
    <w:rsid w:val="00541B98"/>
    <w:rsid w:val="00543374"/>
    <w:rsid w:val="00543876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B53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8F2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72D"/>
    <w:rsid w:val="0062304D"/>
    <w:rsid w:val="006230C2"/>
    <w:rsid w:val="006249CB"/>
    <w:rsid w:val="006272DD"/>
    <w:rsid w:val="00630963"/>
    <w:rsid w:val="00631102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84D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55D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56F9"/>
    <w:rsid w:val="006F1E2B"/>
    <w:rsid w:val="006F365D"/>
    <w:rsid w:val="006F4BB0"/>
    <w:rsid w:val="007031BD"/>
    <w:rsid w:val="00703E80"/>
    <w:rsid w:val="007046AD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6D82"/>
    <w:rsid w:val="00777518"/>
    <w:rsid w:val="0077779E"/>
    <w:rsid w:val="00780FB6"/>
    <w:rsid w:val="0078552A"/>
    <w:rsid w:val="00785729"/>
    <w:rsid w:val="0078580D"/>
    <w:rsid w:val="00786058"/>
    <w:rsid w:val="0079487D"/>
    <w:rsid w:val="007966D4"/>
    <w:rsid w:val="00796847"/>
    <w:rsid w:val="00796A0A"/>
    <w:rsid w:val="0079721C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1E5"/>
    <w:rsid w:val="007C462E"/>
    <w:rsid w:val="007C496B"/>
    <w:rsid w:val="007C6803"/>
    <w:rsid w:val="007D2892"/>
    <w:rsid w:val="007D2DCC"/>
    <w:rsid w:val="007D47E1"/>
    <w:rsid w:val="007D7FCB"/>
    <w:rsid w:val="007E33B6"/>
    <w:rsid w:val="007E4C35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67CF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ABA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72C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0F7"/>
    <w:rsid w:val="009013CA"/>
    <w:rsid w:val="00901670"/>
    <w:rsid w:val="00902212"/>
    <w:rsid w:val="009026E6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4EF4"/>
    <w:rsid w:val="00955CA2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2DAB"/>
    <w:rsid w:val="00976742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BC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B09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D60"/>
    <w:rsid w:val="00A24AAD"/>
    <w:rsid w:val="00A26A8A"/>
    <w:rsid w:val="00A27255"/>
    <w:rsid w:val="00A3102A"/>
    <w:rsid w:val="00A32304"/>
    <w:rsid w:val="00A3420E"/>
    <w:rsid w:val="00A35D66"/>
    <w:rsid w:val="00A41085"/>
    <w:rsid w:val="00A425FA"/>
    <w:rsid w:val="00A43960"/>
    <w:rsid w:val="00A44D2F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1A40"/>
    <w:rsid w:val="00A720DC"/>
    <w:rsid w:val="00A77DAA"/>
    <w:rsid w:val="00A803CF"/>
    <w:rsid w:val="00A8133F"/>
    <w:rsid w:val="00A813DA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260"/>
    <w:rsid w:val="00B14528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402"/>
    <w:rsid w:val="00B73BB4"/>
    <w:rsid w:val="00B80532"/>
    <w:rsid w:val="00B82039"/>
    <w:rsid w:val="00B82454"/>
    <w:rsid w:val="00B82567"/>
    <w:rsid w:val="00B90097"/>
    <w:rsid w:val="00B90999"/>
    <w:rsid w:val="00B91AD7"/>
    <w:rsid w:val="00B92D23"/>
    <w:rsid w:val="00B957F2"/>
    <w:rsid w:val="00B95BC8"/>
    <w:rsid w:val="00B96E87"/>
    <w:rsid w:val="00BA146A"/>
    <w:rsid w:val="00BA32EE"/>
    <w:rsid w:val="00BB5B36"/>
    <w:rsid w:val="00BB6826"/>
    <w:rsid w:val="00BB68ED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281D"/>
    <w:rsid w:val="00C040AB"/>
    <w:rsid w:val="00C0499B"/>
    <w:rsid w:val="00C05406"/>
    <w:rsid w:val="00C05CF0"/>
    <w:rsid w:val="00C0689B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913"/>
    <w:rsid w:val="00C35CC5"/>
    <w:rsid w:val="00C361C5"/>
    <w:rsid w:val="00C377D1"/>
    <w:rsid w:val="00C37BDA"/>
    <w:rsid w:val="00C37C84"/>
    <w:rsid w:val="00C42B41"/>
    <w:rsid w:val="00C42DC9"/>
    <w:rsid w:val="00C46166"/>
    <w:rsid w:val="00C4710D"/>
    <w:rsid w:val="00C50CAD"/>
    <w:rsid w:val="00C5405B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37F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DC2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082"/>
    <w:rsid w:val="00CF4827"/>
    <w:rsid w:val="00CF4C69"/>
    <w:rsid w:val="00CF581C"/>
    <w:rsid w:val="00CF71E0"/>
    <w:rsid w:val="00CF7E03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0C0"/>
    <w:rsid w:val="00D25C94"/>
    <w:rsid w:val="00D26794"/>
    <w:rsid w:val="00D30534"/>
    <w:rsid w:val="00D31F12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012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58D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494F"/>
    <w:rsid w:val="00DA564B"/>
    <w:rsid w:val="00DA6A5C"/>
    <w:rsid w:val="00DB15ED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1BA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A5F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8DA"/>
    <w:rsid w:val="00EC379B"/>
    <w:rsid w:val="00EC37DF"/>
    <w:rsid w:val="00EC3A99"/>
    <w:rsid w:val="00EC41B1"/>
    <w:rsid w:val="00ED0665"/>
    <w:rsid w:val="00ED12C0"/>
    <w:rsid w:val="00ED19F0"/>
    <w:rsid w:val="00ED2297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96E"/>
    <w:rsid w:val="00F164B4"/>
    <w:rsid w:val="00F176E4"/>
    <w:rsid w:val="00F20E5F"/>
    <w:rsid w:val="00F24E97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77CCA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3E91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76CBE1-BBC6-47E5-A977-B9210591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159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5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596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5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596E"/>
    <w:rPr>
      <w:b/>
      <w:bCs/>
    </w:rPr>
  </w:style>
  <w:style w:type="paragraph" w:styleId="Revision">
    <w:name w:val="Revision"/>
    <w:hidden/>
    <w:uiPriority w:val="99"/>
    <w:semiHidden/>
    <w:rsid w:val="0001425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D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1936</Words>
  <Characters>10568</Characters>
  <Application>Microsoft Office Word</Application>
  <DocSecurity>4</DocSecurity>
  <Lines>197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HB03504 (Committee Report (Substituted))</vt:lpstr>
    </vt:vector>
  </TitlesOfParts>
  <Company>State of Texas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22147</dc:subject>
  <dc:creator>State of Texas</dc:creator>
  <dc:description>HB 3504 by Leach-(H)Judiciary &amp; Civil Jurisprudence (Substitute Document Number: 88R 20512)</dc:description>
  <cp:lastModifiedBy>Stacey Nicchio</cp:lastModifiedBy>
  <cp:revision>2</cp:revision>
  <cp:lastPrinted>2003-11-26T17:21:00Z</cp:lastPrinted>
  <dcterms:created xsi:type="dcterms:W3CDTF">2023-04-11T21:05:00Z</dcterms:created>
  <dcterms:modified xsi:type="dcterms:W3CDTF">2023-04-11T21:05:00Z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23.96.285</vt:lpwstr>
  </property>
</Properties>
</file>