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6DFD" w14:paraId="08374EBA" w14:textId="77777777" w:rsidTr="00345119">
        <w:tc>
          <w:tcPr>
            <w:tcW w:w="9576" w:type="dxa"/>
            <w:noWrap/>
          </w:tcPr>
          <w:p w14:paraId="1A354225" w14:textId="77777777" w:rsidR="008423E4" w:rsidRPr="0022177D" w:rsidRDefault="00FE4B40" w:rsidP="00375155">
            <w:pPr>
              <w:pStyle w:val="Heading1"/>
            </w:pPr>
            <w:r w:rsidRPr="00631897">
              <w:t>BILL ANALYSIS</w:t>
            </w:r>
          </w:p>
        </w:tc>
      </w:tr>
    </w:tbl>
    <w:p w14:paraId="4CD3DB69" w14:textId="77777777" w:rsidR="008423E4" w:rsidRPr="0022177D" w:rsidRDefault="008423E4" w:rsidP="00375155">
      <w:pPr>
        <w:jc w:val="center"/>
      </w:pPr>
    </w:p>
    <w:p w14:paraId="76951A91" w14:textId="77777777" w:rsidR="008423E4" w:rsidRPr="00B31F0E" w:rsidRDefault="008423E4" w:rsidP="00375155"/>
    <w:p w14:paraId="51291B32" w14:textId="77777777" w:rsidR="008423E4" w:rsidRPr="00742794" w:rsidRDefault="008423E4" w:rsidP="003751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6DFD" w14:paraId="2D432836" w14:textId="77777777" w:rsidTr="00345119">
        <w:tc>
          <w:tcPr>
            <w:tcW w:w="9576" w:type="dxa"/>
          </w:tcPr>
          <w:p w14:paraId="31052402" w14:textId="161E3B8C" w:rsidR="008423E4" w:rsidRPr="00861995" w:rsidRDefault="00FE4B40" w:rsidP="00375155">
            <w:pPr>
              <w:jc w:val="right"/>
            </w:pPr>
            <w:r>
              <w:t xml:space="preserve">C.S.H.B. </w:t>
            </w:r>
            <w:r w:rsidR="00645DEC">
              <w:t>3657</w:t>
            </w:r>
          </w:p>
        </w:tc>
      </w:tr>
      <w:tr w:rsidR="00276DFD" w14:paraId="7FA63E81" w14:textId="77777777" w:rsidTr="00345119">
        <w:tc>
          <w:tcPr>
            <w:tcW w:w="9576" w:type="dxa"/>
          </w:tcPr>
          <w:p w14:paraId="046A5E09" w14:textId="3A8A70D5" w:rsidR="008423E4" w:rsidRPr="00861995" w:rsidRDefault="00FE4B40" w:rsidP="00375155">
            <w:pPr>
              <w:jc w:val="right"/>
            </w:pPr>
            <w:r>
              <w:t xml:space="preserve">By: </w:t>
            </w:r>
            <w:r w:rsidR="00645DEC">
              <w:t>Anchía</w:t>
            </w:r>
          </w:p>
        </w:tc>
      </w:tr>
      <w:tr w:rsidR="00276DFD" w14:paraId="7B7958BF" w14:textId="77777777" w:rsidTr="00345119">
        <w:tc>
          <w:tcPr>
            <w:tcW w:w="9576" w:type="dxa"/>
          </w:tcPr>
          <w:p w14:paraId="27B8E6C2" w14:textId="3E8A9EFB" w:rsidR="008423E4" w:rsidRPr="00861995" w:rsidRDefault="00FE4B40" w:rsidP="00375155">
            <w:pPr>
              <w:jc w:val="right"/>
            </w:pPr>
            <w:r>
              <w:t>Judiciary &amp; Civil Jurisprudence</w:t>
            </w:r>
          </w:p>
        </w:tc>
      </w:tr>
      <w:tr w:rsidR="00276DFD" w14:paraId="53B9149A" w14:textId="77777777" w:rsidTr="00345119">
        <w:tc>
          <w:tcPr>
            <w:tcW w:w="9576" w:type="dxa"/>
          </w:tcPr>
          <w:p w14:paraId="794E8108" w14:textId="027946A9" w:rsidR="008423E4" w:rsidRDefault="00FE4B40" w:rsidP="00375155">
            <w:pPr>
              <w:jc w:val="right"/>
            </w:pPr>
            <w:r>
              <w:t>Committee Report (Substituted)</w:t>
            </w:r>
          </w:p>
        </w:tc>
      </w:tr>
    </w:tbl>
    <w:p w14:paraId="7E584C28" w14:textId="77777777" w:rsidR="008423E4" w:rsidRDefault="008423E4" w:rsidP="00375155">
      <w:pPr>
        <w:tabs>
          <w:tab w:val="right" w:pos="9360"/>
        </w:tabs>
      </w:pPr>
    </w:p>
    <w:p w14:paraId="1C6E902C" w14:textId="77777777" w:rsidR="008423E4" w:rsidRDefault="008423E4" w:rsidP="00375155"/>
    <w:p w14:paraId="589DA25A" w14:textId="77777777" w:rsidR="008423E4" w:rsidRDefault="008423E4" w:rsidP="003751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6DFD" w14:paraId="4A6394A4" w14:textId="77777777" w:rsidTr="00B61B40">
        <w:tc>
          <w:tcPr>
            <w:tcW w:w="9360" w:type="dxa"/>
          </w:tcPr>
          <w:p w14:paraId="326A43A4" w14:textId="77777777" w:rsidR="008423E4" w:rsidRPr="00A8133F" w:rsidRDefault="00FE4B40" w:rsidP="003751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B1C877" w14:textId="77777777" w:rsidR="008423E4" w:rsidRDefault="008423E4" w:rsidP="00375155"/>
          <w:p w14:paraId="0C644790" w14:textId="514EA0AC" w:rsidR="008423E4" w:rsidRDefault="00FE4B40" w:rsidP="00375155">
            <w:pPr>
              <w:pStyle w:val="Header"/>
              <w:jc w:val="both"/>
            </w:pPr>
            <w:r w:rsidRPr="00D0068F">
              <w:t>There ha</w:t>
            </w:r>
            <w:r w:rsidR="005F05AB">
              <w:t>ve</w:t>
            </w:r>
            <w:r w:rsidRPr="00D0068F">
              <w:t xml:space="preserve"> been a </w:t>
            </w:r>
            <w:r w:rsidR="004344CF">
              <w:t>number of reported cases of</w:t>
            </w:r>
            <w:r w:rsidR="00F4235F" w:rsidRPr="00790095">
              <w:t xml:space="preserve"> land and homes being stolen by deed fraud</w:t>
            </w:r>
            <w:r w:rsidR="004344CF">
              <w:t>, where</w:t>
            </w:r>
            <w:r w:rsidR="00F4235F">
              <w:t xml:space="preserve"> a person forges </w:t>
            </w:r>
            <w:r w:rsidR="004344CF">
              <w:t>the</w:t>
            </w:r>
            <w:r w:rsidR="00D47F71">
              <w:t xml:space="preserve"> </w:t>
            </w:r>
            <w:r w:rsidR="007C02D2">
              <w:t xml:space="preserve">property </w:t>
            </w:r>
            <w:r w:rsidR="00F4235F">
              <w:t>owner</w:t>
            </w:r>
            <w:r w:rsidR="003F5351">
              <w:t>'</w:t>
            </w:r>
            <w:r w:rsidR="00F4235F">
              <w:t>s signature and files a fraudulent deed. Property transfers typically occur outside</w:t>
            </w:r>
            <w:r w:rsidR="00D47F71">
              <w:t xml:space="preserve"> of</w:t>
            </w:r>
            <w:r w:rsidR="00F4235F">
              <w:t xml:space="preserve"> a title company, </w:t>
            </w:r>
            <w:r w:rsidR="00790095">
              <w:t>and the only check on the authenticity of an owner's in-person signature is a notary public</w:t>
            </w:r>
            <w:r w:rsidR="00F4235F" w:rsidRPr="00790095">
              <w:t xml:space="preserve">, which makes </w:t>
            </w:r>
            <w:r w:rsidR="00790095">
              <w:t>the</w:t>
            </w:r>
            <w:r w:rsidR="00D47F71" w:rsidRPr="00790095">
              <w:t xml:space="preserve"> n</w:t>
            </w:r>
            <w:r w:rsidR="00F4235F" w:rsidRPr="00790095">
              <w:t xml:space="preserve">otary </w:t>
            </w:r>
            <w:r w:rsidR="00D47F71" w:rsidRPr="00790095">
              <w:t>p</w:t>
            </w:r>
            <w:r w:rsidR="00F4235F" w:rsidRPr="00790095">
              <w:t>ublic the primary weak link in the in-person system.</w:t>
            </w:r>
            <w:r w:rsidR="00F4235F">
              <w:t xml:space="preserve"> In-person notaries are being exploited by criminals in various ways, including </w:t>
            </w:r>
            <w:r>
              <w:t xml:space="preserve">through </w:t>
            </w:r>
            <w:r w:rsidR="00F4235F">
              <w:t xml:space="preserve">the presentment of fake IDs, false claims that the signatory is unavailable, </w:t>
            </w:r>
            <w:r w:rsidR="00D47F71">
              <w:t xml:space="preserve">and </w:t>
            </w:r>
            <w:r w:rsidR="00F4235F">
              <w:t>previously signed documents</w:t>
            </w:r>
            <w:r w:rsidR="00D47F71">
              <w:t>. In</w:t>
            </w:r>
            <w:r w:rsidR="00F4235F">
              <w:t xml:space="preserve"> some cases, notaries are complicit in these fraudulent transactions.</w:t>
            </w:r>
            <w:r w:rsidR="00D47F71">
              <w:t xml:space="preserve"> C.S.</w:t>
            </w:r>
            <w:r w:rsidR="00F4235F">
              <w:t>H</w:t>
            </w:r>
            <w:r w:rsidR="00D47F71">
              <w:t>.</w:t>
            </w:r>
            <w:r w:rsidR="00F4235F">
              <w:t>B</w:t>
            </w:r>
            <w:r w:rsidR="00D47F71">
              <w:t>.</w:t>
            </w:r>
            <w:r w:rsidR="00A0433C">
              <w:t> </w:t>
            </w:r>
            <w:r w:rsidR="00F4235F">
              <w:t xml:space="preserve">3657 seeks to </w:t>
            </w:r>
            <w:r w:rsidR="00677939">
              <w:t>shore up the integrity, education</w:t>
            </w:r>
            <w:r w:rsidR="00170EC8">
              <w:t>,</w:t>
            </w:r>
            <w:r w:rsidR="00677939">
              <w:t xml:space="preserve"> and records retention of in-person notaries public in order to </w:t>
            </w:r>
            <w:r w:rsidR="0090588A">
              <w:t>address the issue of deed fraud</w:t>
            </w:r>
            <w:r w:rsidR="00677939">
              <w:t>. The bill</w:t>
            </w:r>
            <w:r w:rsidR="0090588A">
              <w:t xml:space="preserve"> establish</w:t>
            </w:r>
            <w:r w:rsidR="00677939">
              <w:t>es</w:t>
            </w:r>
            <w:r w:rsidR="0090588A">
              <w:t xml:space="preserve"> education requirements for appointment and reappointment as a notary public,</w:t>
            </w:r>
            <w:r w:rsidR="00170EC8">
              <w:t xml:space="preserve"> a retention period for notary records</w:t>
            </w:r>
            <w:r w:rsidR="00F4235F">
              <w:t xml:space="preserve">, and </w:t>
            </w:r>
            <w:r w:rsidR="007C02D2">
              <w:t xml:space="preserve">a criminal offense to penalize </w:t>
            </w:r>
            <w:r w:rsidR="00D94341">
              <w:t>notar</w:t>
            </w:r>
            <w:r w:rsidR="00677939">
              <w:t>ies</w:t>
            </w:r>
            <w:r w:rsidR="003F5351">
              <w:t xml:space="preserve"> complicit</w:t>
            </w:r>
            <w:r w:rsidR="00D94341">
              <w:t xml:space="preserve"> </w:t>
            </w:r>
            <w:r w:rsidR="00F4235F">
              <w:t>in deed fraud</w:t>
            </w:r>
            <w:r w:rsidR="00D94341">
              <w:t xml:space="preserve">. </w:t>
            </w:r>
          </w:p>
          <w:p w14:paraId="7E1A19FA" w14:textId="77777777" w:rsidR="008423E4" w:rsidRPr="00E26B13" w:rsidRDefault="008423E4" w:rsidP="00375155">
            <w:pPr>
              <w:rPr>
                <w:b/>
              </w:rPr>
            </w:pPr>
          </w:p>
        </w:tc>
      </w:tr>
      <w:tr w:rsidR="00276DFD" w14:paraId="1B9EBB8A" w14:textId="77777777" w:rsidTr="00B61B40">
        <w:tc>
          <w:tcPr>
            <w:tcW w:w="9360" w:type="dxa"/>
          </w:tcPr>
          <w:p w14:paraId="694A2520" w14:textId="77777777" w:rsidR="0017725B" w:rsidRDefault="00FE4B40" w:rsidP="00375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7F3CC0" w14:textId="77777777" w:rsidR="0017725B" w:rsidRDefault="0017725B" w:rsidP="00375155">
            <w:pPr>
              <w:rPr>
                <w:b/>
                <w:u w:val="single"/>
              </w:rPr>
            </w:pPr>
          </w:p>
          <w:p w14:paraId="1352EB68" w14:textId="77777777" w:rsidR="0017725B" w:rsidRDefault="00FE4B40" w:rsidP="00375155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</w:t>
            </w:r>
            <w:r>
              <w:t>tegory of offenses, or changes the eligibility of a person for community supervision, parole, or mandatory supervision.</w:t>
            </w:r>
          </w:p>
          <w:p w14:paraId="7D89696F" w14:textId="31E75920" w:rsidR="00375155" w:rsidRPr="0017725B" w:rsidRDefault="00375155" w:rsidP="00375155">
            <w:pPr>
              <w:jc w:val="both"/>
              <w:rPr>
                <w:b/>
                <w:u w:val="single"/>
              </w:rPr>
            </w:pPr>
          </w:p>
        </w:tc>
      </w:tr>
      <w:tr w:rsidR="00276DFD" w14:paraId="355AD753" w14:textId="77777777" w:rsidTr="00B61B40">
        <w:tc>
          <w:tcPr>
            <w:tcW w:w="9360" w:type="dxa"/>
          </w:tcPr>
          <w:p w14:paraId="338D6C7C" w14:textId="77777777" w:rsidR="008423E4" w:rsidRPr="00A8133F" w:rsidRDefault="00FE4B40" w:rsidP="003751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87923C" w14:textId="77777777" w:rsidR="008423E4" w:rsidRDefault="008423E4" w:rsidP="00375155"/>
          <w:p w14:paraId="6164EB48" w14:textId="77777777" w:rsidR="008423E4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secretary of state in SECTI</w:t>
            </w:r>
            <w:r>
              <w:t>ON</w:t>
            </w:r>
            <w:r w:rsidR="00C56691">
              <w:t>S</w:t>
            </w:r>
            <w:r>
              <w:t xml:space="preserve"> </w:t>
            </w:r>
            <w:r w:rsidR="00DC42A2">
              <w:t>6</w:t>
            </w:r>
            <w:r w:rsidR="00C56691">
              <w:t xml:space="preserve"> and 7</w:t>
            </w:r>
            <w:r>
              <w:t xml:space="preserve"> of this bill.</w:t>
            </w:r>
          </w:p>
          <w:p w14:paraId="4A623A13" w14:textId="6F1DB2E5" w:rsidR="00375155" w:rsidRPr="00E21FDC" w:rsidRDefault="00375155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76DFD" w14:paraId="735ADB97" w14:textId="77777777" w:rsidTr="00B61B40">
        <w:tc>
          <w:tcPr>
            <w:tcW w:w="9360" w:type="dxa"/>
          </w:tcPr>
          <w:p w14:paraId="79035E9F" w14:textId="77777777" w:rsidR="008423E4" w:rsidRPr="00A8133F" w:rsidRDefault="00FE4B40" w:rsidP="003751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51E0F1" w14:textId="77777777" w:rsidR="008423E4" w:rsidRDefault="008423E4" w:rsidP="00375155"/>
          <w:p w14:paraId="03ED7FE7" w14:textId="5B3220C1" w:rsidR="00F90B7E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644FAE">
              <w:t xml:space="preserve">3657 amends the Government Code to include the </w:t>
            </w:r>
            <w:r w:rsidR="00644FAE" w:rsidRPr="00644FAE">
              <w:t xml:space="preserve">failure to maintain </w:t>
            </w:r>
            <w:r w:rsidR="00644FAE">
              <w:t xml:space="preserve">notary </w:t>
            </w:r>
            <w:r w:rsidR="00644FAE" w:rsidRPr="00644FAE">
              <w:t>records</w:t>
            </w:r>
            <w:r w:rsidR="00955C7A">
              <w:t xml:space="preserve"> as required by state law</w:t>
            </w:r>
            <w:r w:rsidR="00644FAE">
              <w:t xml:space="preserve"> among the </w:t>
            </w:r>
            <w:r w:rsidR="00644FAE" w:rsidRPr="00DA587C">
              <w:t>"good causes"</w:t>
            </w:r>
            <w:r w:rsidR="00644FAE">
              <w:t xml:space="preserve"> for which the </w:t>
            </w:r>
            <w:r w:rsidR="00644FAE" w:rsidRPr="00644FAE">
              <w:t>secretary of state may</w:t>
            </w:r>
            <w:r w:rsidR="00644FAE">
              <w:t xml:space="preserve"> </w:t>
            </w:r>
            <w:r w:rsidR="00644FAE" w:rsidRPr="00644FAE">
              <w:t xml:space="preserve">reject </w:t>
            </w:r>
            <w:r w:rsidR="00644FAE" w:rsidRPr="00955C7A">
              <w:t>an application</w:t>
            </w:r>
            <w:r w:rsidR="00644FAE" w:rsidRPr="00644FAE">
              <w:t xml:space="preserve"> or suspend or revoke the commission of a notary public.</w:t>
            </w:r>
            <w:r w:rsidR="00644FAE">
              <w:t xml:space="preserve"> The bill requires a</w:t>
            </w:r>
            <w:r w:rsidR="00644FAE" w:rsidRPr="00644FAE">
              <w:t xml:space="preserve"> notary public </w:t>
            </w:r>
            <w:r w:rsidR="00644FAE">
              <w:t>to</w:t>
            </w:r>
            <w:r w:rsidR="00644FAE" w:rsidRPr="00644FAE">
              <w:t xml:space="preserve"> retain </w:t>
            </w:r>
            <w:r w:rsidR="00955C7A" w:rsidRPr="00120A18">
              <w:t>the requisite</w:t>
            </w:r>
            <w:r w:rsidR="00955C7A">
              <w:t xml:space="preserve"> </w:t>
            </w:r>
            <w:r w:rsidR="00644FAE" w:rsidRPr="00955C7A">
              <w:t>notary records</w:t>
            </w:r>
            <w:r w:rsidR="00644FAE">
              <w:t xml:space="preserve"> </w:t>
            </w:r>
            <w:r w:rsidR="00644FAE" w:rsidRPr="00644FAE">
              <w:t>until the 1</w:t>
            </w:r>
            <w:r w:rsidR="007B077F">
              <w:t>0</w:t>
            </w:r>
            <w:r w:rsidR="00644FAE" w:rsidRPr="00644FAE">
              <w:t>th anniversary of the date of notarization</w:t>
            </w:r>
            <w:r w:rsidR="00DB6BB0">
              <w:t>.</w:t>
            </w:r>
          </w:p>
          <w:p w14:paraId="27BB55E8" w14:textId="77777777" w:rsidR="00DB6BB0" w:rsidRDefault="00DB6BB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B5C828" w14:textId="2D1F7577" w:rsidR="00644FAE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B65FAA">
              <w:t xml:space="preserve">3657 </w:t>
            </w:r>
            <w:r w:rsidR="009F3258">
              <w:t xml:space="preserve">creates a </w:t>
            </w:r>
            <w:r w:rsidR="009F3258" w:rsidRPr="009F3258">
              <w:t>Class A misdemeanor</w:t>
            </w:r>
            <w:r w:rsidR="009F3258">
              <w:t xml:space="preserve"> offense for a notary public who </w:t>
            </w:r>
            <w:r w:rsidR="009F3258" w:rsidRPr="009F3258">
              <w:t>knowingly performs any notarization</w:t>
            </w:r>
            <w:r w:rsidR="007B077F" w:rsidRPr="007B077F">
              <w:t>, other than an online notarization, with knowledge that the signer, grantor, or make</w:t>
            </w:r>
            <w:r w:rsidR="007B077F">
              <w:t xml:space="preserve">r </w:t>
            </w:r>
            <w:r w:rsidR="009F3258" w:rsidRPr="009F3258">
              <w:t>for whom the notarization is performed did not personally appear before the notary at the time the notarization is execute</w:t>
            </w:r>
            <w:r w:rsidR="00B65FAA">
              <w:t>d. T</w:t>
            </w:r>
            <w:r w:rsidR="009F3258">
              <w:t xml:space="preserve">he bill enhances from </w:t>
            </w:r>
            <w:r w:rsidR="009F3258" w:rsidRPr="009F3258">
              <w:t xml:space="preserve">a Class A misdemeanor </w:t>
            </w:r>
            <w:r w:rsidR="009F3258">
              <w:t xml:space="preserve">to a </w:t>
            </w:r>
            <w:r w:rsidR="009F3258" w:rsidRPr="009F3258">
              <w:t xml:space="preserve">third degree felony </w:t>
            </w:r>
            <w:r w:rsidR="009F3258">
              <w:t xml:space="preserve">the penalty for </w:t>
            </w:r>
            <w:r w:rsidR="005C5CD9">
              <w:t>the offense if the</w:t>
            </w:r>
            <w:r w:rsidR="00B65FAA">
              <w:t xml:space="preserve"> document </w:t>
            </w:r>
            <w:r w:rsidR="005C5CD9">
              <w:t xml:space="preserve">being notarized involves </w:t>
            </w:r>
            <w:r w:rsidR="00B65FAA">
              <w:t xml:space="preserve">the transfer of real property. </w:t>
            </w:r>
          </w:p>
          <w:p w14:paraId="75DD7CAB" w14:textId="77777777" w:rsidR="00B61B40" w:rsidRDefault="00B61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38ABF0B" w14:textId="765B4638" w:rsidR="00DC42A2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3657 </w:t>
            </w:r>
            <w:r w:rsidR="005C5CD9">
              <w:t>requires the</w:t>
            </w:r>
            <w:r w:rsidR="00644FAE">
              <w:t xml:space="preserve"> secretary of state to </w:t>
            </w:r>
            <w:r w:rsidR="00644FAE" w:rsidRPr="00644FAE">
              <w:t>adopt rules necessary to establish education requirements for</w:t>
            </w:r>
            <w:r w:rsidR="007B077F">
              <w:t xml:space="preserve"> </w:t>
            </w:r>
            <w:r w:rsidR="007B077F" w:rsidRPr="007B077F">
              <w:t>appointment as a notary public and continuing education requirements for reappointment</w:t>
            </w:r>
            <w:r w:rsidR="007B077F" w:rsidRPr="00A12C06">
              <w:t>.</w:t>
            </w:r>
            <w:r w:rsidR="007B077F">
              <w:t xml:space="preserve"> </w:t>
            </w:r>
            <w:r w:rsidR="00A12C06">
              <w:t>However, t</w:t>
            </w:r>
            <w:r w:rsidR="007B077F">
              <w:t xml:space="preserve">he bill prohibits </w:t>
            </w:r>
            <w:r w:rsidR="00345B80">
              <w:t>the</w:t>
            </w:r>
            <w:r w:rsidR="007B077F">
              <w:t xml:space="preserve"> rules from requiring a person </w:t>
            </w:r>
            <w:r w:rsidR="007B077F" w:rsidRPr="007B077F">
              <w:t>appointed as a notary public before September 1, 2023, to complete education requirements required for initial appointment on or after that date.</w:t>
            </w:r>
            <w:r w:rsidR="007B077F">
              <w:t xml:space="preserve"> </w:t>
            </w:r>
            <w:r w:rsidR="00A12C06" w:rsidRPr="00120A18">
              <w:t>The bill conditions a person's appointment or reappointment</w:t>
            </w:r>
            <w:r w:rsidR="00120A18">
              <w:t xml:space="preserve"> as a notary public </w:t>
            </w:r>
            <w:r w:rsidR="00A12C06" w:rsidRPr="00120A18">
              <w:t xml:space="preserve">on successful completion of </w:t>
            </w:r>
            <w:r w:rsidR="00A12C06" w:rsidRPr="00AF50CD">
              <w:t xml:space="preserve">the </w:t>
            </w:r>
            <w:r w:rsidR="00AF50CD">
              <w:t>applicable education</w:t>
            </w:r>
            <w:r w:rsidR="00A12C06" w:rsidRPr="00AF50CD">
              <w:t xml:space="preserve"> requirements</w:t>
            </w:r>
            <w:r w:rsidR="00A12C06" w:rsidRPr="00120A18">
              <w:t>.</w:t>
            </w:r>
            <w:r w:rsidR="00A12C06">
              <w:t xml:space="preserve"> </w:t>
            </w:r>
          </w:p>
          <w:p w14:paraId="41A7D62D" w14:textId="77777777" w:rsidR="00DC42A2" w:rsidRDefault="00DC42A2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16EB34" w14:textId="77777777" w:rsidR="008423E4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3657</w:t>
            </w:r>
            <w:r w:rsidR="009F3258">
              <w:t xml:space="preserve"> </w:t>
            </w:r>
            <w:r w:rsidR="00C56691">
              <w:t xml:space="preserve">requires the secretary of state to adopt rules necessary to implement the bill's provisions not later than January 1, 2024. The bill </w:t>
            </w:r>
            <w:r w:rsidR="009F3258">
              <w:t>appl</w:t>
            </w:r>
            <w:r>
              <w:t>ies</w:t>
            </w:r>
            <w:r w:rsidR="009F3258">
              <w:t xml:space="preserve"> </w:t>
            </w:r>
            <w:r w:rsidR="009F3258" w:rsidRPr="009F3258">
              <w:t xml:space="preserve">only to an application for a notary public </w:t>
            </w:r>
            <w:r w:rsidR="00FC3A81">
              <w:t xml:space="preserve">appointment or </w:t>
            </w:r>
            <w:r w:rsidR="009F3258" w:rsidRPr="009F3258">
              <w:t xml:space="preserve">reappointment submitted on or after </w:t>
            </w:r>
            <w:r w:rsidR="00C56691">
              <w:t>that date</w:t>
            </w:r>
            <w:r w:rsidR="009F3258" w:rsidRPr="009F3258">
              <w:t>.</w:t>
            </w:r>
          </w:p>
          <w:p w14:paraId="672AE332" w14:textId="34EAF71D" w:rsidR="00375155" w:rsidRPr="00835628" w:rsidRDefault="00375155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76DFD" w14:paraId="441B4782" w14:textId="77777777" w:rsidTr="00B61B40">
        <w:tc>
          <w:tcPr>
            <w:tcW w:w="9360" w:type="dxa"/>
          </w:tcPr>
          <w:p w14:paraId="7FA7154E" w14:textId="77777777" w:rsidR="008423E4" w:rsidRPr="00A8133F" w:rsidRDefault="00FE4B40" w:rsidP="003751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47E94F71" w14:textId="77777777" w:rsidR="008423E4" w:rsidRDefault="008423E4" w:rsidP="00375155"/>
          <w:p w14:paraId="6EBACE6B" w14:textId="77777777" w:rsidR="008423E4" w:rsidRDefault="00FE4B40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7DBF29" w14:textId="4B49F14C" w:rsidR="00375155" w:rsidRPr="00233FDB" w:rsidRDefault="00375155" w:rsidP="0037515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76DFD" w14:paraId="014E8399" w14:textId="77777777" w:rsidTr="00B61B40">
        <w:tc>
          <w:tcPr>
            <w:tcW w:w="9360" w:type="dxa"/>
          </w:tcPr>
          <w:p w14:paraId="4BF9EA59" w14:textId="77777777" w:rsidR="00645DEC" w:rsidRDefault="00FE4B40" w:rsidP="003751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D555472" w14:textId="77777777" w:rsidR="00375155" w:rsidRDefault="00375155" w:rsidP="00375155">
            <w:pPr>
              <w:jc w:val="both"/>
            </w:pPr>
          </w:p>
          <w:p w14:paraId="753DAF04" w14:textId="0F8DC899" w:rsidR="00B61B40" w:rsidRDefault="00FE4B40" w:rsidP="00375155">
            <w:pPr>
              <w:jc w:val="both"/>
            </w:pPr>
            <w:r>
              <w:t xml:space="preserve">While C.S.H.B. 3657 may differ from the introduced in minor or nonsubstantive ways, the following summarizes the substantial differences between the introduced and committee substitute </w:t>
            </w:r>
            <w:r>
              <w:t>versions of the bill.</w:t>
            </w:r>
          </w:p>
          <w:p w14:paraId="6090D377" w14:textId="2F0D71A5" w:rsidR="00B61B40" w:rsidRDefault="00B61B40" w:rsidP="00375155">
            <w:pPr>
              <w:jc w:val="both"/>
            </w:pPr>
          </w:p>
          <w:p w14:paraId="31CD929F" w14:textId="26A1C4C3" w:rsidR="00B61B40" w:rsidRDefault="00FE4B40" w:rsidP="00375155">
            <w:pPr>
              <w:jc w:val="both"/>
            </w:pPr>
            <w:r>
              <w:t xml:space="preserve">Both the introduced and the substitute require </w:t>
            </w:r>
            <w:r w:rsidR="00D078D1">
              <w:t xml:space="preserve">the secretary of state to establish continuing education requirements that a notary public must complete before being reappointed. </w:t>
            </w:r>
            <w:r w:rsidR="008D69CD">
              <w:t>However, t</w:t>
            </w:r>
            <w:r w:rsidR="00D078D1">
              <w:t xml:space="preserve">he </w:t>
            </w:r>
            <w:r w:rsidRPr="007408E2">
              <w:t xml:space="preserve">substitute </w:t>
            </w:r>
            <w:r w:rsidR="007408E2">
              <w:t xml:space="preserve">includes provisions not in the introduced </w:t>
            </w:r>
            <w:r w:rsidR="008D69CD">
              <w:t>requiring</w:t>
            </w:r>
            <w:r>
              <w:t xml:space="preserve"> </w:t>
            </w:r>
            <w:r w:rsidRPr="00FC3A81">
              <w:t xml:space="preserve">the </w:t>
            </w:r>
            <w:r w:rsidR="00D078D1">
              <w:t xml:space="preserve">secretary of state </w:t>
            </w:r>
            <w:r w:rsidR="008D69CD">
              <w:t xml:space="preserve">also </w:t>
            </w:r>
            <w:r w:rsidR="00D078D1">
              <w:t xml:space="preserve">to establish education requirements that a person must complete </w:t>
            </w:r>
            <w:r w:rsidR="009D419A">
              <w:t>for</w:t>
            </w:r>
            <w:r w:rsidR="00D078D1">
              <w:t xml:space="preserve"> initial appointment as a notary public </w:t>
            </w:r>
            <w:r w:rsidR="008D69CD">
              <w:t>and prohibiting</w:t>
            </w:r>
            <w:r w:rsidR="002947C8">
              <w:rPr>
                <w:bCs/>
              </w:rPr>
              <w:t xml:space="preserve"> the secretary of state from requiring a </w:t>
            </w:r>
            <w:r w:rsidR="002947C8" w:rsidRPr="00C130DE">
              <w:rPr>
                <w:bCs/>
              </w:rPr>
              <w:t>person appointed as a notary public before September 1, 2023, to complete education requirements required for initial appointment on or after that date</w:t>
            </w:r>
            <w:r w:rsidR="002947C8">
              <w:rPr>
                <w:bCs/>
              </w:rPr>
              <w:t>.</w:t>
            </w:r>
            <w:r w:rsidR="003F5351">
              <w:rPr>
                <w:bCs/>
              </w:rPr>
              <w:t xml:space="preserve"> </w:t>
            </w:r>
            <w:r w:rsidR="0090588A" w:rsidRPr="002E31F3">
              <w:t xml:space="preserve">The substitute revises the provision of the introduced specifying that the </w:t>
            </w:r>
            <w:r w:rsidR="00D83501">
              <w:t>bill applies</w:t>
            </w:r>
            <w:r w:rsidR="0090588A" w:rsidRPr="002E31F3">
              <w:t xml:space="preserve"> only to an application for a notary public reappointment submitted on or after January 1, 2024, </w:t>
            </w:r>
            <w:r w:rsidR="0090588A" w:rsidRPr="00677939">
              <w:t xml:space="preserve">to </w:t>
            </w:r>
            <w:r w:rsidR="00D83501" w:rsidRPr="00677939">
              <w:t>also include</w:t>
            </w:r>
            <w:r w:rsidR="002E31F3" w:rsidRPr="00677939">
              <w:t xml:space="preserve"> an application for a notary public appointment</w:t>
            </w:r>
            <w:r w:rsidR="00D83501" w:rsidRPr="00677939">
              <w:t xml:space="preserve"> in this prospective applicability provision</w:t>
            </w:r>
            <w:r w:rsidR="002E31F3" w:rsidRPr="00677939">
              <w:t>.</w:t>
            </w:r>
            <w:r w:rsidR="002E31F3">
              <w:t xml:space="preserve"> </w:t>
            </w:r>
          </w:p>
          <w:p w14:paraId="1AE42C93" w14:textId="77777777" w:rsidR="00B61B40" w:rsidRPr="00B61B40" w:rsidRDefault="00B61B40" w:rsidP="00375155">
            <w:pPr>
              <w:jc w:val="both"/>
            </w:pPr>
          </w:p>
          <w:p w14:paraId="1D3D9BF3" w14:textId="543459CD" w:rsidR="00380C2B" w:rsidRDefault="00FE4B40" w:rsidP="00375155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B61B40" w:rsidRPr="00B61B40">
              <w:rPr>
                <w:bCs/>
              </w:rPr>
              <w:t xml:space="preserve">he substitute revises a provision in the introduced </w:t>
            </w:r>
            <w:r>
              <w:rPr>
                <w:bCs/>
              </w:rPr>
              <w:t xml:space="preserve">establishing </w:t>
            </w:r>
            <w:r w:rsidR="00B61B40">
              <w:rPr>
                <w:bCs/>
              </w:rPr>
              <w:t xml:space="preserve">the offense of notarization for a person not personally appearing </w:t>
            </w:r>
            <w:r w:rsidR="006A0967">
              <w:rPr>
                <w:bCs/>
              </w:rPr>
              <w:t>before the notary public</w:t>
            </w:r>
            <w:r w:rsidR="007970A9">
              <w:rPr>
                <w:bCs/>
              </w:rPr>
              <w:t xml:space="preserve"> at the time the notarization is executed</w:t>
            </w:r>
            <w:r w:rsidR="007970A9" w:rsidRPr="00400E4C">
              <w:rPr>
                <w:bCs/>
              </w:rPr>
              <w:t xml:space="preserve"> </w:t>
            </w:r>
            <w:r w:rsidR="007970A9">
              <w:rPr>
                <w:bCs/>
              </w:rPr>
              <w:t>by doing the following</w:t>
            </w:r>
            <w:r>
              <w:rPr>
                <w:bCs/>
              </w:rPr>
              <w:t>:</w:t>
            </w:r>
          </w:p>
          <w:p w14:paraId="0B4816C0" w14:textId="0ED5885D" w:rsidR="00B61B40" w:rsidRDefault="00FE4B40" w:rsidP="0037515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380C2B">
              <w:rPr>
                <w:bCs/>
              </w:rPr>
              <w:t xml:space="preserve">specifying </w:t>
            </w:r>
            <w:r w:rsidR="00C130DE" w:rsidRPr="00380C2B">
              <w:rPr>
                <w:bCs/>
              </w:rPr>
              <w:t xml:space="preserve">that the </w:t>
            </w:r>
            <w:r w:rsidRPr="00380C2B">
              <w:rPr>
                <w:bCs/>
              </w:rPr>
              <w:t>offense</w:t>
            </w:r>
            <w:r w:rsidR="006A0967" w:rsidRPr="00380C2B">
              <w:rPr>
                <w:bCs/>
              </w:rPr>
              <w:t xml:space="preserve"> does not apply to </w:t>
            </w:r>
            <w:r w:rsidRPr="00380C2B">
              <w:rPr>
                <w:bCs/>
              </w:rPr>
              <w:t>an online notarization</w:t>
            </w:r>
            <w:r w:rsidR="00380C2B">
              <w:rPr>
                <w:bCs/>
              </w:rPr>
              <w:t>; and</w:t>
            </w:r>
          </w:p>
          <w:p w14:paraId="686B17FB" w14:textId="310F2612" w:rsidR="00380C2B" w:rsidRPr="00380C2B" w:rsidRDefault="00FE4B40" w:rsidP="00375155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changing the </w:t>
            </w:r>
            <w:r w:rsidR="00400E4C">
              <w:rPr>
                <w:bCs/>
              </w:rPr>
              <w:t>conduct constituting the offense from</w:t>
            </w:r>
            <w:r>
              <w:rPr>
                <w:bCs/>
              </w:rPr>
              <w:t xml:space="preserve"> </w:t>
            </w:r>
            <w:r w:rsidR="007970A9">
              <w:rPr>
                <w:bCs/>
              </w:rPr>
              <w:t>knowingly perform</w:t>
            </w:r>
            <w:r w:rsidR="00400E4C">
              <w:rPr>
                <w:bCs/>
              </w:rPr>
              <w:t>ing</w:t>
            </w:r>
            <w:r w:rsidR="007970A9">
              <w:rPr>
                <w:bCs/>
              </w:rPr>
              <w:t xml:space="preserve"> a notarization when the</w:t>
            </w:r>
            <w:r>
              <w:rPr>
                <w:bCs/>
              </w:rPr>
              <w:t xml:space="preserve"> person for whom the notarization is performed did not personally appear, </w:t>
            </w:r>
            <w:r w:rsidR="007970A9">
              <w:rPr>
                <w:bCs/>
              </w:rPr>
              <w:t xml:space="preserve">as in the introduced, to </w:t>
            </w:r>
            <w:r w:rsidR="00400E4C">
              <w:rPr>
                <w:bCs/>
              </w:rPr>
              <w:t>performing a notification with</w:t>
            </w:r>
            <w:r w:rsidR="007970A9">
              <w:rPr>
                <w:bCs/>
              </w:rPr>
              <w:t xml:space="preserve"> knowledge that the signer, grantor, or maker for whom the notarization is performed did not personally appear. </w:t>
            </w:r>
          </w:p>
          <w:p w14:paraId="13E814A3" w14:textId="496C5E9F" w:rsidR="00B61B40" w:rsidRDefault="00B61B40" w:rsidP="00375155">
            <w:pPr>
              <w:jc w:val="both"/>
              <w:rPr>
                <w:bCs/>
              </w:rPr>
            </w:pPr>
          </w:p>
          <w:p w14:paraId="048BC699" w14:textId="1A328C4B" w:rsidR="00B61B40" w:rsidRPr="006B1497" w:rsidRDefault="00FE4B40" w:rsidP="00375155">
            <w:pPr>
              <w:jc w:val="both"/>
              <w:rPr>
                <w:bCs/>
              </w:rPr>
            </w:pPr>
            <w:r w:rsidRPr="00B61B40">
              <w:rPr>
                <w:bCs/>
              </w:rPr>
              <w:t xml:space="preserve">The </w:t>
            </w:r>
            <w:r w:rsidRPr="007408E2">
              <w:rPr>
                <w:bCs/>
              </w:rPr>
              <w:t xml:space="preserve">substitute </w:t>
            </w:r>
            <w:r w:rsidR="007408E2">
              <w:rPr>
                <w:bCs/>
              </w:rPr>
              <w:t>requires</w:t>
            </w:r>
            <w:r w:rsidR="00E3492D">
              <w:rPr>
                <w:bCs/>
              </w:rPr>
              <w:t xml:space="preserve"> a notary public to retain </w:t>
            </w:r>
            <w:r w:rsidR="007408E2">
              <w:rPr>
                <w:bCs/>
              </w:rPr>
              <w:t>notary</w:t>
            </w:r>
            <w:r w:rsidR="007408E2" w:rsidRPr="007408E2">
              <w:rPr>
                <w:bCs/>
              </w:rPr>
              <w:t xml:space="preserve"> </w:t>
            </w:r>
            <w:r w:rsidR="00E3492D" w:rsidRPr="007408E2">
              <w:rPr>
                <w:bCs/>
              </w:rPr>
              <w:t>records</w:t>
            </w:r>
            <w:r w:rsidRPr="00B61B40">
              <w:rPr>
                <w:bCs/>
              </w:rPr>
              <w:t xml:space="preserve"> </w:t>
            </w:r>
            <w:r w:rsidR="00C130DE">
              <w:rPr>
                <w:bCs/>
              </w:rPr>
              <w:t xml:space="preserve">until </w:t>
            </w:r>
            <w:r w:rsidR="00E3492D" w:rsidRPr="00E3492D">
              <w:rPr>
                <w:bCs/>
              </w:rPr>
              <w:t>the 1</w:t>
            </w:r>
            <w:r w:rsidR="007408E2">
              <w:rPr>
                <w:bCs/>
              </w:rPr>
              <w:t>0</w:t>
            </w:r>
            <w:r w:rsidR="00E3492D" w:rsidRPr="00E3492D">
              <w:rPr>
                <w:bCs/>
              </w:rPr>
              <w:t>th anniversary of the date of notarization</w:t>
            </w:r>
            <w:r w:rsidR="007408E2">
              <w:rPr>
                <w:bCs/>
              </w:rPr>
              <w:t>, whereas the introduced required those records to be retained</w:t>
            </w:r>
            <w:r w:rsidR="00E3492D">
              <w:rPr>
                <w:bCs/>
              </w:rPr>
              <w:t xml:space="preserve"> until</w:t>
            </w:r>
            <w:r w:rsidRPr="00B61B40">
              <w:rPr>
                <w:bCs/>
              </w:rPr>
              <w:t xml:space="preserve"> </w:t>
            </w:r>
            <w:r w:rsidR="00E3492D" w:rsidRPr="00E3492D">
              <w:rPr>
                <w:bCs/>
              </w:rPr>
              <w:t>the 1</w:t>
            </w:r>
            <w:r w:rsidR="007408E2">
              <w:rPr>
                <w:bCs/>
              </w:rPr>
              <w:t>5</w:t>
            </w:r>
            <w:r w:rsidR="00E3492D" w:rsidRPr="00E3492D">
              <w:rPr>
                <w:bCs/>
              </w:rPr>
              <w:t xml:space="preserve">th anniversary of </w:t>
            </w:r>
            <w:r w:rsidR="00C130DE">
              <w:rPr>
                <w:bCs/>
              </w:rPr>
              <w:t>that</w:t>
            </w:r>
            <w:r w:rsidR="00C130DE" w:rsidRPr="00E3492D">
              <w:rPr>
                <w:bCs/>
              </w:rPr>
              <w:t xml:space="preserve"> </w:t>
            </w:r>
            <w:r w:rsidR="00E3492D" w:rsidRPr="00E3492D">
              <w:rPr>
                <w:bCs/>
              </w:rPr>
              <w:t>dat</w:t>
            </w:r>
            <w:r w:rsidR="00C130DE">
              <w:rPr>
                <w:bCs/>
              </w:rPr>
              <w:t>e</w:t>
            </w:r>
            <w:r w:rsidR="00E3492D" w:rsidRPr="00E3492D">
              <w:rPr>
                <w:bCs/>
              </w:rPr>
              <w:t>.</w:t>
            </w:r>
          </w:p>
        </w:tc>
      </w:tr>
    </w:tbl>
    <w:p w14:paraId="6593283B" w14:textId="77777777" w:rsidR="008423E4" w:rsidRPr="00BE0E75" w:rsidRDefault="008423E4" w:rsidP="00375155">
      <w:pPr>
        <w:jc w:val="both"/>
        <w:rPr>
          <w:rFonts w:ascii="Arial" w:hAnsi="Arial"/>
          <w:sz w:val="16"/>
          <w:szCs w:val="16"/>
        </w:rPr>
      </w:pPr>
    </w:p>
    <w:p w14:paraId="597B4FC0" w14:textId="77777777" w:rsidR="004108C3" w:rsidRPr="008423E4" w:rsidRDefault="004108C3" w:rsidP="0037515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82AA" w14:textId="77777777" w:rsidR="00000000" w:rsidRDefault="00FE4B40">
      <w:r>
        <w:separator/>
      </w:r>
    </w:p>
  </w:endnote>
  <w:endnote w:type="continuationSeparator" w:id="0">
    <w:p w14:paraId="7B41357D" w14:textId="77777777" w:rsidR="00000000" w:rsidRDefault="00F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41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6DFD" w14:paraId="44BB8D89" w14:textId="77777777" w:rsidTr="009C1E9A">
      <w:trPr>
        <w:cantSplit/>
      </w:trPr>
      <w:tc>
        <w:tcPr>
          <w:tcW w:w="0" w:type="pct"/>
        </w:tcPr>
        <w:p w14:paraId="4428F2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DC61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A3C27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672A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FD4E0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6DFD" w14:paraId="33491E29" w14:textId="77777777" w:rsidTr="009C1E9A">
      <w:trPr>
        <w:cantSplit/>
      </w:trPr>
      <w:tc>
        <w:tcPr>
          <w:tcW w:w="0" w:type="pct"/>
        </w:tcPr>
        <w:p w14:paraId="6A3187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39648D" w14:textId="6383B042" w:rsidR="00EC379B" w:rsidRPr="009C1E9A" w:rsidRDefault="00FE4B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25804-D</w:t>
          </w:r>
        </w:p>
      </w:tc>
      <w:tc>
        <w:tcPr>
          <w:tcW w:w="2453" w:type="pct"/>
        </w:tcPr>
        <w:p w14:paraId="79D31E94" w14:textId="27062E67" w:rsidR="00EC379B" w:rsidRDefault="00FE4B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58FE">
            <w:t>23.116.158</w:t>
          </w:r>
          <w:r>
            <w:fldChar w:fldCharType="end"/>
          </w:r>
        </w:p>
      </w:tc>
    </w:tr>
    <w:tr w:rsidR="00276DFD" w14:paraId="0A31F43F" w14:textId="77777777" w:rsidTr="009C1E9A">
      <w:trPr>
        <w:cantSplit/>
      </w:trPr>
      <w:tc>
        <w:tcPr>
          <w:tcW w:w="0" w:type="pct"/>
        </w:tcPr>
        <w:p w14:paraId="1716D1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667397" w14:textId="6701D6F4" w:rsidR="00EC379B" w:rsidRPr="009C1E9A" w:rsidRDefault="00FE4B4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20599</w:t>
          </w:r>
        </w:p>
      </w:tc>
      <w:tc>
        <w:tcPr>
          <w:tcW w:w="2453" w:type="pct"/>
        </w:tcPr>
        <w:p w14:paraId="326D64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9C51E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6DFD" w14:paraId="0D7B54D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73D361" w14:textId="77777777" w:rsidR="00EC379B" w:rsidRDefault="00FE4B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80F6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71DB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9BB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1835" w14:textId="77777777" w:rsidR="00000000" w:rsidRDefault="00FE4B40">
      <w:r>
        <w:separator/>
      </w:r>
    </w:p>
  </w:footnote>
  <w:footnote w:type="continuationSeparator" w:id="0">
    <w:p w14:paraId="4B02A370" w14:textId="77777777" w:rsidR="00000000" w:rsidRDefault="00FE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886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B48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2A5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2C7B"/>
    <w:multiLevelType w:val="hybridMultilevel"/>
    <w:tmpl w:val="43F0D9EA"/>
    <w:lvl w:ilvl="0" w:tplc="02408F9E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7CC9850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C70A600C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3CD192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6806235C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A6E73D4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ED41B10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782ED7CC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30E02AC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9352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3B6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A18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5F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EC8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4A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DFD"/>
    <w:rsid w:val="00277434"/>
    <w:rsid w:val="00280123"/>
    <w:rsid w:val="00281343"/>
    <w:rsid w:val="00281883"/>
    <w:rsid w:val="002874E3"/>
    <w:rsid w:val="00287656"/>
    <w:rsid w:val="00291518"/>
    <w:rsid w:val="002947C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1F3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B80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155"/>
    <w:rsid w:val="00377E3D"/>
    <w:rsid w:val="00380C2B"/>
    <w:rsid w:val="003847E8"/>
    <w:rsid w:val="0038731D"/>
    <w:rsid w:val="00387B60"/>
    <w:rsid w:val="00390098"/>
    <w:rsid w:val="0039052E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351"/>
    <w:rsid w:val="003F77F8"/>
    <w:rsid w:val="00400ACD"/>
    <w:rsid w:val="00400E4C"/>
    <w:rsid w:val="0040118F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8FE"/>
    <w:rsid w:val="0043190E"/>
    <w:rsid w:val="004324E9"/>
    <w:rsid w:val="004344CF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C10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344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CD9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5AB"/>
    <w:rsid w:val="005F1259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CD4"/>
    <w:rsid w:val="00603B0F"/>
    <w:rsid w:val="0060475C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FAE"/>
    <w:rsid w:val="00645750"/>
    <w:rsid w:val="00645DE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939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967"/>
    <w:rsid w:val="006A3487"/>
    <w:rsid w:val="006A6068"/>
    <w:rsid w:val="006B129D"/>
    <w:rsid w:val="006B12AE"/>
    <w:rsid w:val="006B1497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143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8E2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095"/>
    <w:rsid w:val="0079487D"/>
    <w:rsid w:val="007966D4"/>
    <w:rsid w:val="00796A0A"/>
    <w:rsid w:val="007970A9"/>
    <w:rsid w:val="0079792C"/>
    <w:rsid w:val="007A0989"/>
    <w:rsid w:val="007A331F"/>
    <w:rsid w:val="007A3844"/>
    <w:rsid w:val="007A4381"/>
    <w:rsid w:val="007A5466"/>
    <w:rsid w:val="007A7EC1"/>
    <w:rsid w:val="007B077F"/>
    <w:rsid w:val="007B4FCA"/>
    <w:rsid w:val="007B7B85"/>
    <w:rsid w:val="007C02D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9C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574"/>
    <w:rsid w:val="008D58F9"/>
    <w:rsid w:val="008D69CD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88A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C7A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19A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25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33C"/>
    <w:rsid w:val="00A07689"/>
    <w:rsid w:val="00A07906"/>
    <w:rsid w:val="00A10908"/>
    <w:rsid w:val="00A12330"/>
    <w:rsid w:val="00A1259F"/>
    <w:rsid w:val="00A12C0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5EB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1C"/>
    <w:rsid w:val="00AF48B4"/>
    <w:rsid w:val="00AF4923"/>
    <w:rsid w:val="00AF50C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B40"/>
    <w:rsid w:val="00B62106"/>
    <w:rsid w:val="00B626A8"/>
    <w:rsid w:val="00B65695"/>
    <w:rsid w:val="00B65FA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97F"/>
    <w:rsid w:val="00BF4D7C"/>
    <w:rsid w:val="00BF5085"/>
    <w:rsid w:val="00C013F4"/>
    <w:rsid w:val="00C040AB"/>
    <w:rsid w:val="00C0499B"/>
    <w:rsid w:val="00C05406"/>
    <w:rsid w:val="00C05CF0"/>
    <w:rsid w:val="00C119AC"/>
    <w:rsid w:val="00C130DE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69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68F"/>
    <w:rsid w:val="00D03176"/>
    <w:rsid w:val="00D060A8"/>
    <w:rsid w:val="00D06605"/>
    <w:rsid w:val="00D0720F"/>
    <w:rsid w:val="00D074E2"/>
    <w:rsid w:val="00D078D1"/>
    <w:rsid w:val="00D11B0B"/>
    <w:rsid w:val="00D12A3E"/>
    <w:rsid w:val="00D22160"/>
    <w:rsid w:val="00D22172"/>
    <w:rsid w:val="00D2301B"/>
    <w:rsid w:val="00D235E1"/>
    <w:rsid w:val="00D239EE"/>
    <w:rsid w:val="00D278D9"/>
    <w:rsid w:val="00D30534"/>
    <w:rsid w:val="00D35728"/>
    <w:rsid w:val="00D359A7"/>
    <w:rsid w:val="00D37BCF"/>
    <w:rsid w:val="00D40F93"/>
    <w:rsid w:val="00D42277"/>
    <w:rsid w:val="00D43C59"/>
    <w:rsid w:val="00D44ADE"/>
    <w:rsid w:val="00D47F7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501"/>
    <w:rsid w:val="00D83ABC"/>
    <w:rsid w:val="00D84870"/>
    <w:rsid w:val="00D87BA6"/>
    <w:rsid w:val="00D91B92"/>
    <w:rsid w:val="00D926B3"/>
    <w:rsid w:val="00D92F63"/>
    <w:rsid w:val="00D94341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87C"/>
    <w:rsid w:val="00DA6A5C"/>
    <w:rsid w:val="00DB311F"/>
    <w:rsid w:val="00DB53C6"/>
    <w:rsid w:val="00DB59E3"/>
    <w:rsid w:val="00DB6BB0"/>
    <w:rsid w:val="00DB6CB6"/>
    <w:rsid w:val="00DB758F"/>
    <w:rsid w:val="00DC1F1B"/>
    <w:rsid w:val="00DC3D8F"/>
    <w:rsid w:val="00DC42A2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92D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437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30A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5F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B7E"/>
    <w:rsid w:val="00F96602"/>
    <w:rsid w:val="00F9735A"/>
    <w:rsid w:val="00FA2734"/>
    <w:rsid w:val="00FA32FC"/>
    <w:rsid w:val="00FA59FD"/>
    <w:rsid w:val="00FA5D8C"/>
    <w:rsid w:val="00FA6403"/>
    <w:rsid w:val="00FB16CD"/>
    <w:rsid w:val="00FB73AE"/>
    <w:rsid w:val="00FC3A81"/>
    <w:rsid w:val="00FC5388"/>
    <w:rsid w:val="00FC726C"/>
    <w:rsid w:val="00FD1B4B"/>
    <w:rsid w:val="00FD1B94"/>
    <w:rsid w:val="00FD7C2B"/>
    <w:rsid w:val="00FE19C5"/>
    <w:rsid w:val="00FE4286"/>
    <w:rsid w:val="00FE48C3"/>
    <w:rsid w:val="00FE4B40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164479-C7E2-457E-9122-966D23E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44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4F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FAE"/>
    <w:rPr>
      <w:b/>
      <w:bCs/>
    </w:rPr>
  </w:style>
  <w:style w:type="paragraph" w:styleId="Revision">
    <w:name w:val="Revision"/>
    <w:hidden/>
    <w:uiPriority w:val="99"/>
    <w:semiHidden/>
    <w:rsid w:val="00FA27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4549</Characters>
  <Application>Microsoft Office Word</Application>
  <DocSecurity>4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HB03657 (Committee Report (Substituted))</vt:lpstr>
    </vt:vector>
  </TitlesOfParts>
  <Company>State of Texas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25804</dc:subject>
  <dc:creator>State of Texas</dc:creator>
  <dc:description>HB 3657 by Anchía-(H)Judiciary &amp; Civil Jurisprudence (Substitute Document Number: 88R 20599)</dc:description>
  <cp:lastModifiedBy>Stacey Nicchio</cp:lastModifiedBy>
  <cp:revision>2</cp:revision>
  <cp:lastPrinted>2003-11-26T17:21:00Z</cp:lastPrinted>
  <dcterms:created xsi:type="dcterms:W3CDTF">2023-05-02T23:47:00Z</dcterms:created>
  <dcterms:modified xsi:type="dcterms:W3CDTF">2023-05-02T23:47:00Z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23.116.158</vt:lpwstr>
  </property>
</Properties>
</file>