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B2BA6" w14:paraId="2D6F7817" w14:textId="77777777" w:rsidTr="00345119">
        <w:tc>
          <w:tcPr>
            <w:tcW w:w="9576" w:type="dxa"/>
            <w:noWrap/>
          </w:tcPr>
          <w:p w14:paraId="01B23A33" w14:textId="77777777" w:rsidR="008423E4" w:rsidRPr="0022177D" w:rsidRDefault="00701977" w:rsidP="001A79B2">
            <w:pPr>
              <w:pStyle w:val="Heading1"/>
            </w:pPr>
            <w:r w:rsidRPr="00631897">
              <w:t>BILL ANALYSIS</w:t>
            </w:r>
          </w:p>
        </w:tc>
      </w:tr>
    </w:tbl>
    <w:p w14:paraId="285EE1BA" w14:textId="77777777" w:rsidR="008423E4" w:rsidRPr="0022177D" w:rsidRDefault="008423E4" w:rsidP="001A79B2">
      <w:pPr>
        <w:jc w:val="center"/>
      </w:pPr>
    </w:p>
    <w:p w14:paraId="5B065F1B" w14:textId="77777777" w:rsidR="008423E4" w:rsidRPr="00B31F0E" w:rsidRDefault="008423E4" w:rsidP="001A79B2"/>
    <w:p w14:paraId="1E7B740A" w14:textId="77777777" w:rsidR="008423E4" w:rsidRPr="00742794" w:rsidRDefault="008423E4" w:rsidP="001A79B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B2BA6" w14:paraId="2CA52498" w14:textId="77777777" w:rsidTr="00345119">
        <w:tc>
          <w:tcPr>
            <w:tcW w:w="9576" w:type="dxa"/>
          </w:tcPr>
          <w:p w14:paraId="011F6653" w14:textId="04DC3C18" w:rsidR="008423E4" w:rsidRPr="00861995" w:rsidRDefault="00701977" w:rsidP="001A79B2">
            <w:pPr>
              <w:jc w:val="right"/>
            </w:pPr>
            <w:r>
              <w:t>H.B. 3723</w:t>
            </w:r>
          </w:p>
        </w:tc>
      </w:tr>
      <w:tr w:rsidR="004B2BA6" w14:paraId="116F73D0" w14:textId="77777777" w:rsidTr="00345119">
        <w:tc>
          <w:tcPr>
            <w:tcW w:w="9576" w:type="dxa"/>
          </w:tcPr>
          <w:p w14:paraId="567995AA" w14:textId="04DEAFBF" w:rsidR="008423E4" w:rsidRPr="00861995" w:rsidRDefault="00701977" w:rsidP="001A79B2">
            <w:pPr>
              <w:jc w:val="right"/>
            </w:pPr>
            <w:r>
              <w:t xml:space="preserve">By: </w:t>
            </w:r>
            <w:r w:rsidR="009D3D50">
              <w:t>Gerdes</w:t>
            </w:r>
          </w:p>
        </w:tc>
      </w:tr>
      <w:tr w:rsidR="004B2BA6" w14:paraId="44B12616" w14:textId="77777777" w:rsidTr="00345119">
        <w:tc>
          <w:tcPr>
            <w:tcW w:w="9576" w:type="dxa"/>
          </w:tcPr>
          <w:p w14:paraId="7BBAB4A5" w14:textId="49722642" w:rsidR="008423E4" w:rsidRPr="00861995" w:rsidRDefault="00701977" w:rsidP="001A79B2">
            <w:pPr>
              <w:jc w:val="right"/>
            </w:pPr>
            <w:r>
              <w:t>International Relations &amp; Economic Development</w:t>
            </w:r>
          </w:p>
        </w:tc>
      </w:tr>
      <w:tr w:rsidR="004B2BA6" w14:paraId="67EC4134" w14:textId="77777777" w:rsidTr="00345119">
        <w:tc>
          <w:tcPr>
            <w:tcW w:w="9576" w:type="dxa"/>
          </w:tcPr>
          <w:p w14:paraId="5B0EF57A" w14:textId="082819FC" w:rsidR="008423E4" w:rsidRDefault="00701977" w:rsidP="001A79B2">
            <w:pPr>
              <w:jc w:val="right"/>
            </w:pPr>
            <w:r>
              <w:t>Committee Report (Unamended)</w:t>
            </w:r>
          </w:p>
        </w:tc>
      </w:tr>
    </w:tbl>
    <w:p w14:paraId="6D8E59B4" w14:textId="77777777" w:rsidR="008423E4" w:rsidRDefault="008423E4" w:rsidP="001A79B2">
      <w:pPr>
        <w:tabs>
          <w:tab w:val="right" w:pos="9360"/>
        </w:tabs>
      </w:pPr>
    </w:p>
    <w:p w14:paraId="09144B3A" w14:textId="77777777" w:rsidR="008423E4" w:rsidRDefault="008423E4" w:rsidP="001A79B2"/>
    <w:p w14:paraId="6A9694DC" w14:textId="77777777" w:rsidR="008423E4" w:rsidRDefault="008423E4" w:rsidP="001A79B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B2BA6" w14:paraId="71C8F406" w14:textId="77777777" w:rsidTr="00345119">
        <w:tc>
          <w:tcPr>
            <w:tcW w:w="9576" w:type="dxa"/>
          </w:tcPr>
          <w:p w14:paraId="2DD99CE1" w14:textId="77777777" w:rsidR="008423E4" w:rsidRPr="00A8133F" w:rsidRDefault="00701977" w:rsidP="001A79B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643F3B" w14:textId="77777777" w:rsidR="008423E4" w:rsidRDefault="008423E4" w:rsidP="001A79B2"/>
          <w:p w14:paraId="521BA465" w14:textId="77777777" w:rsidR="008423E4" w:rsidRDefault="00701977" w:rsidP="001A79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8C75B0">
              <w:t xml:space="preserve">he Smithville Workforce Training Center has been working with students and adult trainees to provide </w:t>
            </w:r>
            <w:r w:rsidRPr="008C75B0">
              <w:t>high-quality certification programs designed to help grow rural communities in Bastrop, Lee, and Fayette Counties</w:t>
            </w:r>
            <w:r w:rsidR="00F122E8">
              <w:t>. However, i</w:t>
            </w:r>
            <w:r w:rsidRPr="008C75B0">
              <w:t xml:space="preserve">n </w:t>
            </w:r>
            <w:r w:rsidR="00A03484">
              <w:t xml:space="preserve">other </w:t>
            </w:r>
            <w:r w:rsidRPr="008C75B0">
              <w:t xml:space="preserve">rural communities across Texas, </w:t>
            </w:r>
            <w:r>
              <w:t>the l</w:t>
            </w:r>
            <w:r w:rsidRPr="008C75B0">
              <w:t xml:space="preserve">ack of </w:t>
            </w:r>
            <w:r w:rsidR="00845C8E">
              <w:t xml:space="preserve">training and educational </w:t>
            </w:r>
            <w:r w:rsidRPr="008C75B0">
              <w:t>opportunit</w:t>
            </w:r>
            <w:r w:rsidR="00845C8E">
              <w:t>ies</w:t>
            </w:r>
            <w:r w:rsidR="00F47D50">
              <w:t xml:space="preserve"> like those in Smithville, as well as</w:t>
            </w:r>
            <w:r w:rsidR="00845C8E">
              <w:t xml:space="preserve"> the lack of</w:t>
            </w:r>
            <w:r w:rsidRPr="008C75B0">
              <w:t xml:space="preserve"> competitive wages</w:t>
            </w:r>
            <w:r w:rsidR="00F47D50">
              <w:t>,</w:t>
            </w:r>
            <w:r w:rsidRPr="008C75B0">
              <w:t xml:space="preserve"> </w:t>
            </w:r>
            <w:r>
              <w:t xml:space="preserve">may </w:t>
            </w:r>
            <w:r w:rsidRPr="008C75B0">
              <w:t>drive people awa</w:t>
            </w:r>
            <w:r>
              <w:t>y</w:t>
            </w:r>
            <w:r w:rsidR="00F122E8">
              <w:t xml:space="preserve"> from th</w:t>
            </w:r>
            <w:r w:rsidR="00845C8E">
              <w:t>eir rural</w:t>
            </w:r>
            <w:r w:rsidR="00F122E8">
              <w:t xml:space="preserve"> communities</w:t>
            </w:r>
            <w:r>
              <w:t>.</w:t>
            </w:r>
            <w:r w:rsidRPr="008C75B0">
              <w:t xml:space="preserve"> Currently, developers, junior colleges, and businesses</w:t>
            </w:r>
            <w:r w:rsidR="00023CE6">
              <w:t xml:space="preserve"> are not</w:t>
            </w:r>
            <w:r w:rsidRPr="008C75B0">
              <w:t xml:space="preserve"> </w:t>
            </w:r>
            <w:r w:rsidR="00023CE6" w:rsidRPr="008C75B0">
              <w:t>incentiv</w:t>
            </w:r>
            <w:r w:rsidR="00023CE6">
              <w:t>ized</w:t>
            </w:r>
            <w:r w:rsidRPr="008C75B0">
              <w:t xml:space="preserve"> to invest in these communities. Due to th</w:t>
            </w:r>
            <w:r w:rsidR="00023CE6">
              <w:t>e lack of investment</w:t>
            </w:r>
            <w:r w:rsidR="00845C8E">
              <w:t>,</w:t>
            </w:r>
            <w:r w:rsidR="00A03484">
              <w:t xml:space="preserve"> and as </w:t>
            </w:r>
            <w:r w:rsidRPr="008C75B0">
              <w:t>rural population decrease</w:t>
            </w:r>
            <w:r w:rsidR="00A03484">
              <w:t xml:space="preserve">s, </w:t>
            </w:r>
            <w:r w:rsidRPr="008C75B0">
              <w:t>ma</w:t>
            </w:r>
            <w:r w:rsidRPr="008C75B0">
              <w:t>ny of the individuals who remain in rural communities live below the poverty level or are retired</w:t>
            </w:r>
            <w:r w:rsidR="00845C8E">
              <w:t xml:space="preserve"> and not seeking employment.</w:t>
            </w:r>
            <w:r w:rsidR="00845C8E" w:rsidRPr="008C75B0">
              <w:t xml:space="preserve"> </w:t>
            </w:r>
            <w:r w:rsidR="00F47D50">
              <w:t>To be comfortable investing in a community and its workforce, those</w:t>
            </w:r>
            <w:r w:rsidRPr="008C75B0">
              <w:t xml:space="preserve"> </w:t>
            </w:r>
            <w:r w:rsidR="00A03484">
              <w:t xml:space="preserve">interested in investing in a rural community </w:t>
            </w:r>
            <w:r w:rsidRPr="008C75B0">
              <w:t xml:space="preserve">need to know that skilled labor and high talent individuals have </w:t>
            </w:r>
            <w:r w:rsidR="00F47D50">
              <w:t xml:space="preserve">an </w:t>
            </w:r>
            <w:r w:rsidRPr="008C75B0">
              <w:t xml:space="preserve">incentive to stay </w:t>
            </w:r>
            <w:r w:rsidR="00A03484">
              <w:t>in the rural community</w:t>
            </w:r>
            <w:r w:rsidR="00F47D50">
              <w:t>.</w:t>
            </w:r>
            <w:r>
              <w:t xml:space="preserve"> </w:t>
            </w:r>
            <w:r w:rsidRPr="008C75B0">
              <w:t>H</w:t>
            </w:r>
            <w:r w:rsidR="00023CE6">
              <w:t>.</w:t>
            </w:r>
            <w:r w:rsidRPr="008C75B0">
              <w:t>B</w:t>
            </w:r>
            <w:r w:rsidR="00023CE6">
              <w:t>.</w:t>
            </w:r>
            <w:r w:rsidR="005667B4">
              <w:t> </w:t>
            </w:r>
            <w:r w:rsidRPr="008C75B0">
              <w:t>3723</w:t>
            </w:r>
            <w:r w:rsidR="00023CE6" w:rsidRPr="00023CE6">
              <w:t xml:space="preserve"> seeks to level the playing field for rural communities </w:t>
            </w:r>
            <w:r w:rsidR="00023CE6">
              <w:t>by establishing</w:t>
            </w:r>
            <w:r w:rsidRPr="008C75B0">
              <w:t xml:space="preserve"> a </w:t>
            </w:r>
            <w:r w:rsidR="00023CE6">
              <w:t>r</w:t>
            </w:r>
            <w:r w:rsidRPr="008C75B0">
              <w:t xml:space="preserve">ural </w:t>
            </w:r>
            <w:r w:rsidR="00023CE6">
              <w:t>w</w:t>
            </w:r>
            <w:r w:rsidRPr="008C75B0">
              <w:t xml:space="preserve">orkforce </w:t>
            </w:r>
            <w:r w:rsidR="00023CE6">
              <w:t>t</w:t>
            </w:r>
            <w:r w:rsidRPr="008C75B0">
              <w:t xml:space="preserve">raining </w:t>
            </w:r>
            <w:r w:rsidR="00023CE6">
              <w:t>g</w:t>
            </w:r>
            <w:r w:rsidRPr="008C75B0">
              <w:t xml:space="preserve">rant </w:t>
            </w:r>
            <w:r w:rsidR="00023CE6">
              <w:t>p</w:t>
            </w:r>
            <w:r w:rsidRPr="008C75B0">
              <w:t xml:space="preserve">rogram </w:t>
            </w:r>
            <w:r w:rsidR="00023CE6">
              <w:t>to</w:t>
            </w:r>
            <w:r w:rsidRPr="008C75B0">
              <w:t xml:space="preserve"> provide on</w:t>
            </w:r>
            <w:r w:rsidR="00F122E8">
              <w:t>-</w:t>
            </w:r>
            <w:r w:rsidRPr="008C75B0">
              <w:t>the</w:t>
            </w:r>
            <w:r w:rsidR="00F122E8">
              <w:t>-</w:t>
            </w:r>
            <w:r w:rsidRPr="008C75B0">
              <w:t>job tr</w:t>
            </w:r>
            <w:r w:rsidRPr="008C75B0">
              <w:t>aining, apprenticeships, and workforce education courses to counties with a population of</w:t>
            </w:r>
            <w:r w:rsidR="00F122E8">
              <w:t xml:space="preserve"> </w:t>
            </w:r>
            <w:r w:rsidR="00365006">
              <w:t>less than</w:t>
            </w:r>
            <w:r w:rsidRPr="008C75B0">
              <w:t xml:space="preserve"> 200,000</w:t>
            </w:r>
            <w:r w:rsidR="00365006">
              <w:t>.</w:t>
            </w:r>
          </w:p>
          <w:p w14:paraId="057843AD" w14:textId="067503B3" w:rsidR="001A79B2" w:rsidRPr="00E26B13" w:rsidRDefault="001A79B2" w:rsidP="001A79B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B2BA6" w14:paraId="0C79015F" w14:textId="77777777" w:rsidTr="00345119">
        <w:tc>
          <w:tcPr>
            <w:tcW w:w="9576" w:type="dxa"/>
          </w:tcPr>
          <w:p w14:paraId="45468284" w14:textId="77777777" w:rsidR="0017725B" w:rsidRDefault="00701977" w:rsidP="001A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09D101" w14:textId="77777777" w:rsidR="0017725B" w:rsidRDefault="0017725B" w:rsidP="001A79B2">
            <w:pPr>
              <w:rPr>
                <w:b/>
                <w:u w:val="single"/>
              </w:rPr>
            </w:pPr>
          </w:p>
          <w:p w14:paraId="5D09833D" w14:textId="50FCAC00" w:rsidR="002E0495" w:rsidRPr="002E0495" w:rsidRDefault="00701977" w:rsidP="001A79B2">
            <w:pPr>
              <w:jc w:val="both"/>
            </w:pPr>
            <w:r>
              <w:t>It is the committee's opinion that this bill does not expressly create a criminal offense, increase the punishment for a</w:t>
            </w:r>
            <w:r>
              <w:t>n existing criminal offense or category of offenses, or change the eligibility of a person for community supervision, parole, or mandatory supervision.</w:t>
            </w:r>
          </w:p>
          <w:p w14:paraId="75B06E01" w14:textId="77777777" w:rsidR="0017725B" w:rsidRPr="0017725B" w:rsidRDefault="0017725B" w:rsidP="001A79B2">
            <w:pPr>
              <w:rPr>
                <w:b/>
                <w:u w:val="single"/>
              </w:rPr>
            </w:pPr>
          </w:p>
        </w:tc>
      </w:tr>
      <w:tr w:rsidR="004B2BA6" w14:paraId="6D030434" w14:textId="77777777" w:rsidTr="00345119">
        <w:tc>
          <w:tcPr>
            <w:tcW w:w="9576" w:type="dxa"/>
          </w:tcPr>
          <w:p w14:paraId="1936474C" w14:textId="77777777" w:rsidR="008423E4" w:rsidRPr="00A8133F" w:rsidRDefault="00701977" w:rsidP="001A79B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59E169" w14:textId="77777777" w:rsidR="008423E4" w:rsidRDefault="008423E4" w:rsidP="001A79B2"/>
          <w:p w14:paraId="1EA116E3" w14:textId="5E05A8C0" w:rsidR="002E0495" w:rsidRDefault="00701977" w:rsidP="001A79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</w:t>
            </w:r>
            <w:r>
              <w:t xml:space="preserve"> the </w:t>
            </w:r>
            <w:r w:rsidR="006C3F13" w:rsidRPr="006C3F13">
              <w:t>Texas Workforce Commission</w:t>
            </w:r>
            <w:r>
              <w:t xml:space="preserve"> in </w:t>
            </w:r>
            <w:r w:rsidR="006C3F13">
              <w:t>SECTION 1</w:t>
            </w:r>
            <w:r>
              <w:t xml:space="preserve"> of this bill.</w:t>
            </w:r>
          </w:p>
          <w:p w14:paraId="16419522" w14:textId="77777777" w:rsidR="008423E4" w:rsidRPr="00E21FDC" w:rsidRDefault="008423E4" w:rsidP="001A79B2">
            <w:pPr>
              <w:rPr>
                <w:b/>
              </w:rPr>
            </w:pPr>
          </w:p>
        </w:tc>
      </w:tr>
      <w:tr w:rsidR="004B2BA6" w14:paraId="7E4F107B" w14:textId="77777777" w:rsidTr="00345119">
        <w:tc>
          <w:tcPr>
            <w:tcW w:w="9576" w:type="dxa"/>
          </w:tcPr>
          <w:p w14:paraId="27C52A57" w14:textId="77777777" w:rsidR="008423E4" w:rsidRPr="00A8133F" w:rsidRDefault="00701977" w:rsidP="001A79B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F6115D" w14:textId="77777777" w:rsidR="008423E4" w:rsidRDefault="008423E4" w:rsidP="001A79B2"/>
          <w:p w14:paraId="493117E7" w14:textId="599E5266" w:rsidR="008B3227" w:rsidRDefault="00701977" w:rsidP="001A79B2">
            <w:pPr>
              <w:pStyle w:val="Header"/>
              <w:jc w:val="both"/>
            </w:pPr>
            <w:r>
              <w:t xml:space="preserve">H.B. 3723 amends the </w:t>
            </w:r>
            <w:r w:rsidRPr="005E2549">
              <w:t>Labor Code</w:t>
            </w:r>
            <w:r>
              <w:t xml:space="preserve"> to require the Texas Workforce Commission (TWC) to establish and administer the rural workforce training grant program for the purpose of providing targeted funding for job-specific workforce training and related services to strengthen the skills, resourc</w:t>
            </w:r>
            <w:r>
              <w:t>es, and career opportunities of the rural workforce in Texas. The bill require</w:t>
            </w:r>
            <w:r w:rsidR="00AE335B">
              <w:t>s</w:t>
            </w:r>
            <w:r>
              <w:t xml:space="preserve"> TWC, under the program, to award grants to public, private, or nonprofit entities, including business associations, political subdivisions, local workforce development boards, </w:t>
            </w:r>
            <w:r>
              <w:t>and educational institutions, that as follows:</w:t>
            </w:r>
          </w:p>
          <w:p w14:paraId="6804FABE" w14:textId="049AFFD2" w:rsidR="009C36CD" w:rsidRDefault="00701977" w:rsidP="001A79B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on-the-job training, apprenticeships, workforce education courses, and other job-specific workforce development activities in a county with a population of less than 200,000</w:t>
            </w:r>
            <w:r w:rsidR="001D0218">
              <w:t>; and</w:t>
            </w:r>
          </w:p>
          <w:p w14:paraId="193990D0" w14:textId="2DDA57CA" w:rsidR="001D0218" w:rsidRDefault="00701977" w:rsidP="001A79B2">
            <w:pPr>
              <w:pStyle w:val="Header"/>
              <w:numPr>
                <w:ilvl w:val="0"/>
                <w:numId w:val="1"/>
              </w:numPr>
              <w:jc w:val="both"/>
            </w:pPr>
            <w:r w:rsidRPr="006C3F13">
              <w:t>apply to TWC in the ma</w:t>
            </w:r>
            <w:r w:rsidRPr="006C3F13">
              <w:t>nner provided by TWC rule</w:t>
            </w:r>
            <w:r>
              <w:t>.</w:t>
            </w:r>
          </w:p>
          <w:p w14:paraId="28F2C365" w14:textId="043EBA6F" w:rsidR="005E2549" w:rsidRDefault="005E2549" w:rsidP="001A79B2">
            <w:pPr>
              <w:pStyle w:val="Header"/>
              <w:jc w:val="both"/>
            </w:pPr>
          </w:p>
          <w:p w14:paraId="7582E566" w14:textId="08880051" w:rsidR="005E2549" w:rsidRDefault="00701977" w:rsidP="001A79B2">
            <w:pPr>
              <w:pStyle w:val="Header"/>
              <w:jc w:val="both"/>
            </w:pPr>
            <w:r>
              <w:t xml:space="preserve">H.B. 3723 </w:t>
            </w:r>
            <w:r w:rsidR="008B3227">
              <w:t xml:space="preserve">restricts </w:t>
            </w:r>
            <w:r>
              <w:t>the use of money awarded to an entity under the program to covering costs associated with training materials, instructors' fees, participant wraparound expenses, facility fees, administrative costs, and outre</w:t>
            </w:r>
            <w:r>
              <w:t xml:space="preserve">ach, mentoring, and recruiting costs for the training, apprenticeship, course, or other activity for which the money is awarded. TWC must require a grant recipient to provide periodic reports regarding the recipient's use of grant money received under the </w:t>
            </w:r>
            <w:r>
              <w:t>program and related training participant outcomes.</w:t>
            </w:r>
            <w:r w:rsidR="002E0495" w:rsidRPr="002E0495">
              <w:t xml:space="preserve"> The</w:t>
            </w:r>
            <w:r w:rsidR="002E0495">
              <w:t xml:space="preserve"> bill authorizes TWC to</w:t>
            </w:r>
            <w:r w:rsidR="002E0495" w:rsidRPr="002E0495">
              <w:t xml:space="preserve"> solicit and accept gifts, grants, and donations from any public or private source for purposes of the program.</w:t>
            </w:r>
          </w:p>
          <w:p w14:paraId="668DCCD2" w14:textId="68F77B9D" w:rsidR="002E0495" w:rsidRDefault="002E0495" w:rsidP="001A79B2">
            <w:pPr>
              <w:pStyle w:val="Header"/>
              <w:jc w:val="both"/>
            </w:pPr>
          </w:p>
          <w:p w14:paraId="794E2261" w14:textId="5AEFE21B" w:rsidR="002E0495" w:rsidRPr="009C36CD" w:rsidRDefault="00701977" w:rsidP="001A79B2">
            <w:pPr>
              <w:pStyle w:val="Header"/>
              <w:jc w:val="both"/>
            </w:pPr>
            <w:r>
              <w:t>H.B. 3723 requires TWC to adopt rules for the administration of th</w:t>
            </w:r>
            <w:r>
              <w:t>e program. The bill requires TWC, not later than December 1 of each year, to submit to the governor, lieutenant governor, speaker of the house of representatives, and the standing committee of each house of the legislature with primary jurisdiction over wo</w:t>
            </w:r>
            <w:r>
              <w:t xml:space="preserve">rkforce development matters a report regarding the grants awarded under the program during the most recent state fiscal year and </w:t>
            </w:r>
            <w:r w:rsidR="00845C8E">
              <w:t xml:space="preserve">regarding </w:t>
            </w:r>
            <w:r>
              <w:t xml:space="preserve">the program's effectiveness. </w:t>
            </w:r>
          </w:p>
          <w:p w14:paraId="221442B0" w14:textId="77777777" w:rsidR="008423E4" w:rsidRPr="00835628" w:rsidRDefault="008423E4" w:rsidP="001A79B2">
            <w:pPr>
              <w:rPr>
                <w:b/>
              </w:rPr>
            </w:pPr>
          </w:p>
        </w:tc>
      </w:tr>
      <w:tr w:rsidR="004B2BA6" w14:paraId="7E1E3F80" w14:textId="77777777" w:rsidTr="00345119">
        <w:tc>
          <w:tcPr>
            <w:tcW w:w="9576" w:type="dxa"/>
          </w:tcPr>
          <w:p w14:paraId="3A3847E1" w14:textId="77777777" w:rsidR="008423E4" w:rsidRPr="00A8133F" w:rsidRDefault="00701977" w:rsidP="001A79B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2A4CB2" w14:textId="77777777" w:rsidR="008423E4" w:rsidRDefault="008423E4" w:rsidP="001A79B2"/>
          <w:p w14:paraId="1DCD06DB" w14:textId="29A2F3D3" w:rsidR="008423E4" w:rsidRPr="003624F2" w:rsidRDefault="00701977" w:rsidP="001A79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D8CD041" w14:textId="77777777" w:rsidR="008423E4" w:rsidRPr="00233FDB" w:rsidRDefault="008423E4" w:rsidP="001A79B2">
            <w:pPr>
              <w:rPr>
                <w:b/>
              </w:rPr>
            </w:pPr>
          </w:p>
        </w:tc>
      </w:tr>
    </w:tbl>
    <w:p w14:paraId="6977154C" w14:textId="77777777" w:rsidR="008423E4" w:rsidRPr="00BE0E75" w:rsidRDefault="008423E4" w:rsidP="001A79B2">
      <w:pPr>
        <w:jc w:val="both"/>
        <w:rPr>
          <w:rFonts w:ascii="Arial" w:hAnsi="Arial"/>
          <w:sz w:val="16"/>
          <w:szCs w:val="16"/>
        </w:rPr>
      </w:pPr>
    </w:p>
    <w:p w14:paraId="1878F1EF" w14:textId="77777777" w:rsidR="004108C3" w:rsidRPr="008423E4" w:rsidRDefault="004108C3" w:rsidP="001A79B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90F9" w14:textId="77777777" w:rsidR="00000000" w:rsidRDefault="00701977">
      <w:r>
        <w:separator/>
      </w:r>
    </w:p>
  </w:endnote>
  <w:endnote w:type="continuationSeparator" w:id="0">
    <w:p w14:paraId="616A8A22" w14:textId="77777777" w:rsidR="00000000" w:rsidRDefault="0070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92D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B2BA6" w14:paraId="7379B77D" w14:textId="77777777" w:rsidTr="009C1E9A">
      <w:trPr>
        <w:cantSplit/>
      </w:trPr>
      <w:tc>
        <w:tcPr>
          <w:tcW w:w="0" w:type="pct"/>
        </w:tcPr>
        <w:p w14:paraId="12061B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5846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8BCA8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E6AA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265A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B2BA6" w14:paraId="4FD988A8" w14:textId="77777777" w:rsidTr="009C1E9A">
      <w:trPr>
        <w:cantSplit/>
      </w:trPr>
      <w:tc>
        <w:tcPr>
          <w:tcW w:w="0" w:type="pct"/>
        </w:tcPr>
        <w:p w14:paraId="1F812E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E284C0" w14:textId="0C8AE0DF" w:rsidR="00EC379B" w:rsidRPr="009C1E9A" w:rsidRDefault="0070197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25023-D</w:t>
          </w:r>
        </w:p>
      </w:tc>
      <w:tc>
        <w:tcPr>
          <w:tcW w:w="2453" w:type="pct"/>
        </w:tcPr>
        <w:p w14:paraId="420B8AD3" w14:textId="11F7B56F" w:rsidR="00EC379B" w:rsidRDefault="0070197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667B4">
            <w:t>23.111.2034</w:t>
          </w:r>
          <w:r>
            <w:fldChar w:fldCharType="end"/>
          </w:r>
        </w:p>
      </w:tc>
    </w:tr>
    <w:tr w:rsidR="004B2BA6" w14:paraId="47D64FEC" w14:textId="77777777" w:rsidTr="009C1E9A">
      <w:trPr>
        <w:cantSplit/>
      </w:trPr>
      <w:tc>
        <w:tcPr>
          <w:tcW w:w="0" w:type="pct"/>
        </w:tcPr>
        <w:p w14:paraId="675C843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496DD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071FC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5BE7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B2BA6" w14:paraId="11AF99C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3C4D9CB" w14:textId="77777777" w:rsidR="00EC379B" w:rsidRDefault="0070197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E3F8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8AB7B0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79B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C28F" w14:textId="77777777" w:rsidR="00000000" w:rsidRDefault="00701977">
      <w:r>
        <w:separator/>
      </w:r>
    </w:p>
  </w:footnote>
  <w:footnote w:type="continuationSeparator" w:id="0">
    <w:p w14:paraId="27177277" w14:textId="77777777" w:rsidR="00000000" w:rsidRDefault="0070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577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4B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880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476B"/>
    <w:multiLevelType w:val="hybridMultilevel"/>
    <w:tmpl w:val="2D708292"/>
    <w:lvl w:ilvl="0" w:tplc="CF380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05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65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4F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C7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8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05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EC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6A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4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CE6"/>
    <w:rsid w:val="0002413D"/>
    <w:rsid w:val="000249F2"/>
    <w:rsid w:val="00027E81"/>
    <w:rsid w:val="00030AD8"/>
    <w:rsid w:val="0003107A"/>
    <w:rsid w:val="000310B3"/>
    <w:rsid w:val="00031C95"/>
    <w:rsid w:val="000330D4"/>
    <w:rsid w:val="0003572D"/>
    <w:rsid w:val="00035DB0"/>
    <w:rsid w:val="00037088"/>
    <w:rsid w:val="000400D5"/>
    <w:rsid w:val="00042356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2D0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9B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21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495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006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BA6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3BA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635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7B4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549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F13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97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C8E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227"/>
    <w:rsid w:val="008B3428"/>
    <w:rsid w:val="008B4A91"/>
    <w:rsid w:val="008B7785"/>
    <w:rsid w:val="008B79F2"/>
    <w:rsid w:val="008C0809"/>
    <w:rsid w:val="008C132C"/>
    <w:rsid w:val="008C3FD0"/>
    <w:rsid w:val="008C75B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071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D50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484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25A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35B"/>
    <w:rsid w:val="00AE4F1C"/>
    <w:rsid w:val="00AF0B99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B35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B7E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2E8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D50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96CA60-2440-4FB6-BC0C-6E5D8234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25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5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2549"/>
    <w:rPr>
      <w:b/>
      <w:bCs/>
    </w:rPr>
  </w:style>
  <w:style w:type="paragraph" w:styleId="Revision">
    <w:name w:val="Revision"/>
    <w:hidden/>
    <w:uiPriority w:val="99"/>
    <w:semiHidden/>
    <w:rsid w:val="008B3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3275</Characters>
  <Application>Microsoft Office Word</Application>
  <DocSecurity>4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HB03723 (Committee Report (Unamended))</vt:lpstr>
    </vt:vector>
  </TitlesOfParts>
  <Company>State of Texas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25023</dc:subject>
  <dc:creator>State of Texas</dc:creator>
  <dc:description>HB 3723 by Gerdes-(H)International Relations &amp; Economic Development</dc:description>
  <cp:lastModifiedBy>Matthew Lee</cp:lastModifiedBy>
  <cp:revision>2</cp:revision>
  <cp:lastPrinted>2003-11-26T17:21:00Z</cp:lastPrinted>
  <dcterms:created xsi:type="dcterms:W3CDTF">2023-04-25T17:20:00Z</dcterms:created>
  <dcterms:modified xsi:type="dcterms:W3CDTF">2023-04-25T17:20:00Z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23.111.2034</vt:lpwstr>
  </property>
</Properties>
</file>