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24B0A" w14:paraId="3B91E2F2" w14:textId="77777777" w:rsidTr="00345119">
        <w:tc>
          <w:tcPr>
            <w:tcW w:w="9576" w:type="dxa"/>
            <w:noWrap/>
          </w:tcPr>
          <w:p w14:paraId="2662E903" w14:textId="77777777" w:rsidR="008423E4" w:rsidRPr="0022177D" w:rsidRDefault="006248F8" w:rsidP="006F4600">
            <w:pPr>
              <w:pStyle w:val="Heading1"/>
            </w:pPr>
            <w:r w:rsidRPr="00631897">
              <w:t>BILL ANALYSIS</w:t>
            </w:r>
          </w:p>
        </w:tc>
      </w:tr>
    </w:tbl>
    <w:p w14:paraId="66BC22FF" w14:textId="77777777" w:rsidR="008423E4" w:rsidRPr="00191269" w:rsidRDefault="008423E4" w:rsidP="006F4600">
      <w:pPr>
        <w:jc w:val="center"/>
        <w:rPr>
          <w:sz w:val="20"/>
          <w:szCs w:val="20"/>
        </w:rPr>
      </w:pPr>
    </w:p>
    <w:p w14:paraId="5A977C9B" w14:textId="77777777" w:rsidR="008423E4" w:rsidRPr="00191269" w:rsidRDefault="008423E4" w:rsidP="006F4600">
      <w:pPr>
        <w:rPr>
          <w:sz w:val="20"/>
          <w:szCs w:val="20"/>
        </w:rPr>
      </w:pPr>
    </w:p>
    <w:p w14:paraId="00943CB3" w14:textId="77777777" w:rsidR="008423E4" w:rsidRPr="00191269" w:rsidRDefault="008423E4" w:rsidP="006F4600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24B0A" w14:paraId="7F03710D" w14:textId="77777777" w:rsidTr="00345119">
        <w:tc>
          <w:tcPr>
            <w:tcW w:w="9576" w:type="dxa"/>
          </w:tcPr>
          <w:p w14:paraId="51E95234" w14:textId="7B4765D7" w:rsidR="008423E4" w:rsidRPr="00861995" w:rsidRDefault="006248F8" w:rsidP="006F4600">
            <w:pPr>
              <w:jc w:val="right"/>
            </w:pPr>
            <w:r>
              <w:t>H.B. 3849</w:t>
            </w:r>
          </w:p>
        </w:tc>
      </w:tr>
      <w:tr w:rsidR="00D24B0A" w14:paraId="390A2BAC" w14:textId="77777777" w:rsidTr="00345119">
        <w:tc>
          <w:tcPr>
            <w:tcW w:w="9576" w:type="dxa"/>
          </w:tcPr>
          <w:p w14:paraId="4214F510" w14:textId="0E8C3E32" w:rsidR="008423E4" w:rsidRPr="00861995" w:rsidRDefault="006248F8" w:rsidP="006F4600">
            <w:pPr>
              <w:jc w:val="right"/>
            </w:pPr>
            <w:r>
              <w:t xml:space="preserve">By: </w:t>
            </w:r>
            <w:r w:rsidR="00787A69">
              <w:t>Bell, Cecil</w:t>
            </w:r>
          </w:p>
        </w:tc>
      </w:tr>
      <w:tr w:rsidR="00D24B0A" w14:paraId="1331C99D" w14:textId="77777777" w:rsidTr="00345119">
        <w:tc>
          <w:tcPr>
            <w:tcW w:w="9576" w:type="dxa"/>
          </w:tcPr>
          <w:p w14:paraId="563A3C8D" w14:textId="7C794750" w:rsidR="008423E4" w:rsidRPr="00861995" w:rsidRDefault="006248F8" w:rsidP="006F4600">
            <w:pPr>
              <w:jc w:val="right"/>
            </w:pPr>
            <w:r>
              <w:t>Pensions, Investments &amp; Financial Services</w:t>
            </w:r>
          </w:p>
        </w:tc>
      </w:tr>
      <w:tr w:rsidR="00D24B0A" w14:paraId="222AB8B9" w14:textId="77777777" w:rsidTr="00345119">
        <w:tc>
          <w:tcPr>
            <w:tcW w:w="9576" w:type="dxa"/>
          </w:tcPr>
          <w:p w14:paraId="78103E16" w14:textId="5233C02F" w:rsidR="008423E4" w:rsidRDefault="006248F8" w:rsidP="006F4600">
            <w:pPr>
              <w:jc w:val="right"/>
            </w:pPr>
            <w:r>
              <w:t>Committee Report (Unamended)</w:t>
            </w:r>
          </w:p>
        </w:tc>
      </w:tr>
    </w:tbl>
    <w:p w14:paraId="5BFD45E1" w14:textId="77777777" w:rsidR="008423E4" w:rsidRPr="00191269" w:rsidRDefault="008423E4" w:rsidP="006F4600">
      <w:pPr>
        <w:tabs>
          <w:tab w:val="right" w:pos="9360"/>
        </w:tabs>
        <w:rPr>
          <w:sz w:val="20"/>
          <w:szCs w:val="20"/>
        </w:rPr>
      </w:pPr>
    </w:p>
    <w:p w14:paraId="1E6EBD2E" w14:textId="77777777" w:rsidR="008423E4" w:rsidRPr="00191269" w:rsidRDefault="008423E4" w:rsidP="006F4600">
      <w:pPr>
        <w:rPr>
          <w:sz w:val="20"/>
          <w:szCs w:val="20"/>
        </w:rPr>
      </w:pPr>
    </w:p>
    <w:p w14:paraId="195C4B88" w14:textId="77777777" w:rsidR="008423E4" w:rsidRPr="00191269" w:rsidRDefault="008423E4" w:rsidP="006F4600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24B0A" w14:paraId="1D639F89" w14:textId="77777777" w:rsidTr="00345119">
        <w:tc>
          <w:tcPr>
            <w:tcW w:w="9576" w:type="dxa"/>
          </w:tcPr>
          <w:p w14:paraId="04CA4E44" w14:textId="77777777" w:rsidR="008423E4" w:rsidRPr="00A8133F" w:rsidRDefault="006248F8" w:rsidP="006F460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0294079" w14:textId="77777777" w:rsidR="008423E4" w:rsidRDefault="008423E4" w:rsidP="006F4600"/>
          <w:p w14:paraId="33A08FD4" w14:textId="25DC9760" w:rsidR="00A2383D" w:rsidRDefault="006248F8" w:rsidP="006F4600">
            <w:pPr>
              <w:pStyle w:val="Header"/>
              <w:jc w:val="both"/>
            </w:pPr>
            <w:r>
              <w:t>Firefighters and emergency medical service</w:t>
            </w:r>
            <w:r w:rsidR="005412D9">
              <w:t>s</w:t>
            </w:r>
            <w:r>
              <w:t xml:space="preserve"> providers who are employed by</w:t>
            </w:r>
            <w:r w:rsidR="005412D9">
              <w:t xml:space="preserve"> certain</w:t>
            </w:r>
            <w:r>
              <w:t xml:space="preserve"> municipalities in Texas are guaranteed the ability to purchase continued health coverage after retirement. </w:t>
            </w:r>
            <w:r w:rsidR="005412D9">
              <w:t>While t</w:t>
            </w:r>
            <w:r>
              <w:t xml:space="preserve">he municipality can charge the retired employee the full cost of the </w:t>
            </w:r>
            <w:r w:rsidR="005412D9">
              <w:t>coverage,</w:t>
            </w:r>
            <w:r>
              <w:t xml:space="preserve"> </w:t>
            </w:r>
            <w:r w:rsidR="005412D9">
              <w:t>t</w:t>
            </w:r>
            <w:r>
              <w:t xml:space="preserve">he option to purchase this </w:t>
            </w:r>
            <w:r w:rsidR="005412D9">
              <w:t>coverage</w:t>
            </w:r>
            <w:r>
              <w:t xml:space="preserve"> is valuable for </w:t>
            </w:r>
            <w:r w:rsidR="005412D9">
              <w:t>several</w:t>
            </w:r>
            <w:r>
              <w:t xml:space="preserve"> r</w:t>
            </w:r>
            <w:r>
              <w:t xml:space="preserve">easons. </w:t>
            </w:r>
            <w:r w:rsidR="005412D9">
              <w:t>While m</w:t>
            </w:r>
            <w:r>
              <w:t>ost first responders tend to retire before the age of 65</w:t>
            </w:r>
            <w:r w:rsidR="005412D9">
              <w:t>, they</w:t>
            </w:r>
            <w:r>
              <w:t xml:space="preserve"> are ineligible for Medicare until </w:t>
            </w:r>
            <w:r w:rsidR="005412D9">
              <w:t>that age and</w:t>
            </w:r>
            <w:r>
              <w:t xml:space="preserve"> </w:t>
            </w:r>
            <w:r w:rsidR="005412D9">
              <w:t>f</w:t>
            </w:r>
            <w:r>
              <w:t xml:space="preserve">inding quality health coverage to fill the gap can be difficult. </w:t>
            </w:r>
            <w:r w:rsidR="005412D9">
              <w:t>Also</w:t>
            </w:r>
            <w:r>
              <w:t>, having the ability to keep the same coverage is often worth</w:t>
            </w:r>
            <w:r>
              <w:t xml:space="preserve"> the added cost.</w:t>
            </w:r>
            <w:r w:rsidR="002020FD">
              <w:t xml:space="preserve"> </w:t>
            </w:r>
          </w:p>
          <w:p w14:paraId="305B7127" w14:textId="77777777" w:rsidR="00A2383D" w:rsidRDefault="00A2383D" w:rsidP="006F4600">
            <w:pPr>
              <w:pStyle w:val="Header"/>
              <w:jc w:val="both"/>
            </w:pPr>
          </w:p>
          <w:p w14:paraId="299B3D85" w14:textId="2FE6ADAA" w:rsidR="008423E4" w:rsidRDefault="006248F8" w:rsidP="006F46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P</w:t>
            </w:r>
            <w:r w:rsidR="009B00FC" w:rsidRPr="009B00FC">
              <w:t>rior to</w:t>
            </w:r>
            <w:r w:rsidR="009B00FC">
              <w:t xml:space="preserve"> the passage of </w:t>
            </w:r>
            <w:r w:rsidR="009B00FC" w:rsidRPr="009B00FC">
              <w:t>H</w:t>
            </w:r>
            <w:r w:rsidR="009B00FC">
              <w:t>.</w:t>
            </w:r>
            <w:r w:rsidR="009B00FC" w:rsidRPr="009B00FC">
              <w:t>B</w:t>
            </w:r>
            <w:r w:rsidR="009B00FC">
              <w:t>.</w:t>
            </w:r>
            <w:r w:rsidR="009B00FC" w:rsidRPr="009B00FC">
              <w:t xml:space="preserve"> 2171 </w:t>
            </w:r>
            <w:r w:rsidR="009B00FC">
              <w:t>in the last regular session,</w:t>
            </w:r>
            <w:r w:rsidR="00CA407A">
              <w:t xml:space="preserve"> firefighters and emergency medical</w:t>
            </w:r>
            <w:r w:rsidR="009B00FC">
              <w:t xml:space="preserve"> services</w:t>
            </w:r>
            <w:r w:rsidR="00CA407A">
              <w:t xml:space="preserve"> providers who retire from</w:t>
            </w:r>
            <w:r w:rsidR="009B00FC">
              <w:t xml:space="preserve"> an</w:t>
            </w:r>
            <w:r w:rsidR="00CA407A">
              <w:t xml:space="preserve"> emergency services district were not afforded this guarantee. </w:t>
            </w:r>
            <w:r w:rsidR="009B00FC">
              <w:t>Th</w:t>
            </w:r>
            <w:r w:rsidR="00897088">
              <w:t>at</w:t>
            </w:r>
            <w:r w:rsidR="009B00FC">
              <w:t xml:space="preserve"> bill</w:t>
            </w:r>
            <w:r w:rsidR="00CA407A">
              <w:t xml:space="preserve"> added</w:t>
            </w:r>
            <w:r w:rsidR="00897088">
              <w:t xml:space="preserve"> </w:t>
            </w:r>
            <w:r w:rsidR="009B00FC">
              <w:t xml:space="preserve">such districts </w:t>
            </w:r>
            <w:r w:rsidR="00CA407A">
              <w:t>in counties</w:t>
            </w:r>
            <w:r w:rsidR="00897088">
              <w:t xml:space="preserve"> of a certain population</w:t>
            </w:r>
            <w:r w:rsidR="00CA407A">
              <w:t xml:space="preserve"> to the list of entities that</w:t>
            </w:r>
            <w:r w:rsidR="00897088">
              <w:t xml:space="preserve"> must</w:t>
            </w:r>
            <w:r w:rsidR="00CA407A">
              <w:t xml:space="preserve"> offer continued health </w:t>
            </w:r>
            <w:r w:rsidR="00897088">
              <w:t>coverage</w:t>
            </w:r>
            <w:r w:rsidR="00CA407A">
              <w:t xml:space="preserve"> to </w:t>
            </w:r>
            <w:r w:rsidR="00897088">
              <w:t xml:space="preserve">retired </w:t>
            </w:r>
            <w:r w:rsidR="00CA407A">
              <w:t>fire</w:t>
            </w:r>
            <w:r w:rsidR="00897088">
              <w:t>fighters</w:t>
            </w:r>
            <w:r w:rsidR="00CA407A">
              <w:t xml:space="preserve"> and </w:t>
            </w:r>
            <w:r w:rsidR="00897088" w:rsidRPr="00897088">
              <w:t>emergency medical services providers</w:t>
            </w:r>
            <w:r w:rsidR="00CA407A">
              <w:t>.</w:t>
            </w:r>
            <w:r w:rsidR="002020FD">
              <w:t xml:space="preserve"> </w:t>
            </w:r>
            <w:r w:rsidR="00CA407A">
              <w:t>H</w:t>
            </w:r>
            <w:r w:rsidR="00897088">
              <w:t>.</w:t>
            </w:r>
            <w:r w:rsidR="00CA407A">
              <w:t>B</w:t>
            </w:r>
            <w:r w:rsidR="00897088">
              <w:t>.</w:t>
            </w:r>
            <w:r w:rsidR="00CA407A">
              <w:t xml:space="preserve"> 3849 </w:t>
            </w:r>
            <w:r w:rsidR="00897088">
              <w:t xml:space="preserve">seeks to </w:t>
            </w:r>
            <w:r w:rsidR="00AB39A0">
              <w:t>extend the opportunity for continued health coverage to another</w:t>
            </w:r>
            <w:r w:rsidR="00897088">
              <w:t xml:space="preserve"> </w:t>
            </w:r>
            <w:r w:rsidR="00CA407A">
              <w:t>group of</w:t>
            </w:r>
            <w:r w:rsidR="002020FD">
              <w:t xml:space="preserve"> </w:t>
            </w:r>
            <w:r w:rsidR="00897088">
              <w:t>first responders</w:t>
            </w:r>
            <w:r w:rsidR="00CA407A">
              <w:t xml:space="preserve">, specifically </w:t>
            </w:r>
            <w:r>
              <w:t xml:space="preserve">firefighters, police officers, and emergency medical services providers </w:t>
            </w:r>
            <w:r w:rsidR="00CA407A">
              <w:t xml:space="preserve">that work in </w:t>
            </w:r>
            <w:r w:rsidR="00897088">
              <w:t>T</w:t>
            </w:r>
            <w:r w:rsidR="00CA407A">
              <w:t xml:space="preserve">he Woodlands Township </w:t>
            </w:r>
            <w:r w:rsidR="00211C2A">
              <w:t>n</w:t>
            </w:r>
            <w:r w:rsidR="00CA407A">
              <w:t>orth of Houston</w:t>
            </w:r>
            <w:r w:rsidR="00211C2A" w:rsidRPr="00211C2A">
              <w:t>.</w:t>
            </w:r>
          </w:p>
          <w:p w14:paraId="4393EFCF" w14:textId="77777777" w:rsidR="008423E4" w:rsidRPr="00E26B13" w:rsidRDefault="008423E4" w:rsidP="006F4600">
            <w:pPr>
              <w:rPr>
                <w:b/>
              </w:rPr>
            </w:pPr>
          </w:p>
        </w:tc>
      </w:tr>
      <w:tr w:rsidR="00D24B0A" w14:paraId="7B88925E" w14:textId="77777777" w:rsidTr="00345119">
        <w:tc>
          <w:tcPr>
            <w:tcW w:w="9576" w:type="dxa"/>
          </w:tcPr>
          <w:p w14:paraId="11EBFB40" w14:textId="77777777" w:rsidR="0017725B" w:rsidRDefault="006248F8" w:rsidP="006F46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5128DBC" w14:textId="77777777" w:rsidR="0017725B" w:rsidRDefault="0017725B" w:rsidP="006F4600">
            <w:pPr>
              <w:rPr>
                <w:b/>
                <w:u w:val="single"/>
              </w:rPr>
            </w:pPr>
          </w:p>
          <w:p w14:paraId="1D6BD698" w14:textId="4D1459AA" w:rsidR="0086382F" w:rsidRPr="0086382F" w:rsidRDefault="006248F8" w:rsidP="006F4600">
            <w:pPr>
              <w:jc w:val="both"/>
            </w:pPr>
            <w:r>
              <w:t>It is the committee's opinion that this bill does not</w:t>
            </w:r>
            <w:r>
              <w:t xml:space="preserve">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C6AE2B9" w14:textId="77777777" w:rsidR="0017725B" w:rsidRPr="0017725B" w:rsidRDefault="0017725B" w:rsidP="006F4600">
            <w:pPr>
              <w:rPr>
                <w:b/>
                <w:u w:val="single"/>
              </w:rPr>
            </w:pPr>
          </w:p>
        </w:tc>
      </w:tr>
      <w:tr w:rsidR="00D24B0A" w14:paraId="1C848ED4" w14:textId="77777777" w:rsidTr="00345119">
        <w:tc>
          <w:tcPr>
            <w:tcW w:w="9576" w:type="dxa"/>
          </w:tcPr>
          <w:p w14:paraId="41642512" w14:textId="77777777" w:rsidR="008423E4" w:rsidRPr="00A8133F" w:rsidRDefault="006248F8" w:rsidP="006F460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9EF065F" w14:textId="77777777" w:rsidR="008423E4" w:rsidRDefault="008423E4" w:rsidP="006F4600"/>
          <w:p w14:paraId="74964BD9" w14:textId="44E8B340" w:rsidR="0086382F" w:rsidRDefault="006248F8" w:rsidP="006F46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</w:t>
            </w:r>
            <w:r>
              <w:t>mmittee's opinion that this bill does not expressly grant any additional rulemaking authority to a state officer, department, agency, or institution.</w:t>
            </w:r>
          </w:p>
          <w:p w14:paraId="64EABDE9" w14:textId="77777777" w:rsidR="008423E4" w:rsidRPr="00E21FDC" w:rsidRDefault="008423E4" w:rsidP="006F4600">
            <w:pPr>
              <w:rPr>
                <w:b/>
              </w:rPr>
            </w:pPr>
          </w:p>
        </w:tc>
      </w:tr>
      <w:tr w:rsidR="00D24B0A" w14:paraId="4466AE2B" w14:textId="77777777" w:rsidTr="00345119">
        <w:tc>
          <w:tcPr>
            <w:tcW w:w="9576" w:type="dxa"/>
          </w:tcPr>
          <w:p w14:paraId="2468262C" w14:textId="77777777" w:rsidR="008423E4" w:rsidRPr="00A8133F" w:rsidRDefault="006248F8" w:rsidP="006F460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A8D2094" w14:textId="77777777" w:rsidR="008423E4" w:rsidRDefault="008423E4" w:rsidP="006F4600"/>
          <w:p w14:paraId="5A88A642" w14:textId="26ECC531" w:rsidR="00821CF8" w:rsidRDefault="006248F8" w:rsidP="006F46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3849 amends the Local Government Code to </w:t>
            </w:r>
            <w:r w:rsidR="00877ADA">
              <w:t xml:space="preserve">extend the applicability of provisions providing for the right of employees of certain political subdivisions to purchase continued health coverage at </w:t>
            </w:r>
            <w:r w:rsidR="00673A78">
              <w:t>retirement</w:t>
            </w:r>
            <w:r w:rsidR="00877ADA">
              <w:t xml:space="preserve"> to </w:t>
            </w:r>
            <w:r w:rsidR="00BF64A0">
              <w:t xml:space="preserve">a person who retires from </w:t>
            </w:r>
            <w:r w:rsidR="00BF64A0" w:rsidRPr="00BF64A0">
              <w:t>employment as a firefighter, police officer, or emergency medical services provider by a township with a population of 110,000 or more</w:t>
            </w:r>
            <w:r w:rsidR="00BF64A0">
              <w:t xml:space="preserve"> </w:t>
            </w:r>
            <w:r>
              <w:t>and who is entitled to receive retirement benefits from the township</w:t>
            </w:r>
            <w:r w:rsidR="00BF64A0">
              <w:t xml:space="preserve">. </w:t>
            </w:r>
            <w:r>
              <w:t xml:space="preserve">For </w:t>
            </w:r>
            <w:r w:rsidR="00022F0B">
              <w:t xml:space="preserve">the bill's </w:t>
            </w:r>
            <w:r>
              <w:t xml:space="preserve">purposes, a township means a </w:t>
            </w:r>
            <w:r w:rsidRPr="00821CF8">
              <w:t>special district with territory that only includes a census designated p</w:t>
            </w:r>
            <w:r w:rsidRPr="00821CF8">
              <w:t xml:space="preserve">lace, as designated by the </w:t>
            </w:r>
            <w:r>
              <w:t>U.S.</w:t>
            </w:r>
            <w:r w:rsidRPr="00821CF8">
              <w:t xml:space="preserve"> Bureau of the Census.</w:t>
            </w:r>
            <w:r>
              <w:t xml:space="preserve"> </w:t>
            </w:r>
          </w:p>
          <w:p w14:paraId="5A3ED46C" w14:textId="77777777" w:rsidR="00821CF8" w:rsidRDefault="00821CF8" w:rsidP="006F46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327A941" w14:textId="6B2C367D" w:rsidR="009C36CD" w:rsidRPr="009C36CD" w:rsidRDefault="006248F8" w:rsidP="006F46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3849</w:t>
            </w:r>
            <w:r w:rsidR="00BF64A0">
              <w:t xml:space="preserve"> applies to all eligible persons who leave employment with a township on or after January 1, 2024. The bill requires a township </w:t>
            </w:r>
            <w:r w:rsidR="00080799">
              <w:t xml:space="preserve">that is required by the bill to provide continued health benefits coverage but </w:t>
            </w:r>
            <w:r w:rsidR="00BF64A0">
              <w:t xml:space="preserve">that is not allowed to provide </w:t>
            </w:r>
            <w:r w:rsidR="00080799">
              <w:t>the</w:t>
            </w:r>
            <w:r w:rsidR="00BF64A0">
              <w:t xml:space="preserve"> coverage </w:t>
            </w:r>
            <w:r w:rsidR="00BF64A0" w:rsidRPr="00BF64A0">
              <w:t>under the terms of the township's existing group health plan</w:t>
            </w:r>
            <w:r w:rsidR="00BF64A0">
              <w:t xml:space="preserve"> to </w:t>
            </w:r>
            <w:r w:rsidR="00BF64A0" w:rsidRPr="00BF64A0">
              <w:t xml:space="preserve">ensure that the coverage </w:t>
            </w:r>
            <w:r w:rsidR="00080799">
              <w:t xml:space="preserve">required by the bill </w:t>
            </w:r>
            <w:r w:rsidR="00BF64A0" w:rsidRPr="00BF64A0">
              <w:t xml:space="preserve">is provided for in any new plan the township </w:t>
            </w:r>
            <w:r w:rsidR="00080799">
              <w:t xml:space="preserve">adopts </w:t>
            </w:r>
            <w:r w:rsidR="00BF64A0" w:rsidRPr="00BF64A0">
              <w:t>on or after January 1, 2024</w:t>
            </w:r>
            <w:r w:rsidR="0086382F">
              <w:t xml:space="preserve">, unless the township is </w:t>
            </w:r>
            <w:r w:rsidR="00080799">
              <w:t xml:space="preserve">otherwise </w:t>
            </w:r>
            <w:r w:rsidR="0086382F">
              <w:t>exempt</w:t>
            </w:r>
            <w:r w:rsidR="00022F0B">
              <w:t xml:space="preserve"> under applicable state law</w:t>
            </w:r>
            <w:r w:rsidR="0086382F">
              <w:t xml:space="preserve">. </w:t>
            </w:r>
          </w:p>
          <w:p w14:paraId="4394F423" w14:textId="77777777" w:rsidR="008423E4" w:rsidRPr="00835628" w:rsidRDefault="008423E4" w:rsidP="006F4600">
            <w:pPr>
              <w:rPr>
                <w:b/>
              </w:rPr>
            </w:pPr>
          </w:p>
        </w:tc>
      </w:tr>
      <w:tr w:rsidR="00D24B0A" w14:paraId="0CC29E6F" w14:textId="77777777" w:rsidTr="00345119">
        <w:tc>
          <w:tcPr>
            <w:tcW w:w="9576" w:type="dxa"/>
          </w:tcPr>
          <w:p w14:paraId="32347E17" w14:textId="77777777" w:rsidR="008423E4" w:rsidRPr="00A8133F" w:rsidRDefault="006248F8" w:rsidP="006F460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2D6035C" w14:textId="77777777" w:rsidR="008423E4" w:rsidRDefault="008423E4" w:rsidP="006F4600"/>
          <w:p w14:paraId="074BB372" w14:textId="20C09D6F" w:rsidR="008423E4" w:rsidRPr="003624F2" w:rsidRDefault="006248F8" w:rsidP="006F46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E2FD9C7" w14:textId="77777777" w:rsidR="008423E4" w:rsidRPr="00233FDB" w:rsidRDefault="008423E4" w:rsidP="006F4600">
            <w:pPr>
              <w:rPr>
                <w:b/>
              </w:rPr>
            </w:pPr>
          </w:p>
        </w:tc>
      </w:tr>
    </w:tbl>
    <w:p w14:paraId="2144B49C" w14:textId="77777777" w:rsidR="008423E4" w:rsidRPr="00BE0E75" w:rsidRDefault="008423E4" w:rsidP="006F4600">
      <w:pPr>
        <w:jc w:val="both"/>
        <w:rPr>
          <w:rFonts w:ascii="Arial" w:hAnsi="Arial"/>
          <w:sz w:val="16"/>
          <w:szCs w:val="16"/>
        </w:rPr>
      </w:pPr>
    </w:p>
    <w:p w14:paraId="63D1858F" w14:textId="77777777" w:rsidR="004108C3" w:rsidRPr="008423E4" w:rsidRDefault="004108C3" w:rsidP="006F460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FF97" w14:textId="77777777" w:rsidR="00000000" w:rsidRDefault="006248F8">
      <w:r>
        <w:separator/>
      </w:r>
    </w:p>
  </w:endnote>
  <w:endnote w:type="continuationSeparator" w:id="0">
    <w:p w14:paraId="133B4E17" w14:textId="77777777" w:rsidR="00000000" w:rsidRDefault="0062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00F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24B0A" w14:paraId="5CC9D4AE" w14:textId="77777777" w:rsidTr="009C1E9A">
      <w:trPr>
        <w:cantSplit/>
      </w:trPr>
      <w:tc>
        <w:tcPr>
          <w:tcW w:w="0" w:type="pct"/>
        </w:tcPr>
        <w:p w14:paraId="62F78A5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8451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82CFB6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0B6913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6EEA8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24B0A" w14:paraId="538229E7" w14:textId="77777777" w:rsidTr="009C1E9A">
      <w:trPr>
        <w:cantSplit/>
      </w:trPr>
      <w:tc>
        <w:tcPr>
          <w:tcW w:w="0" w:type="pct"/>
        </w:tcPr>
        <w:p w14:paraId="45F0FD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30DC50" w14:textId="2C00EA30" w:rsidR="00EC379B" w:rsidRPr="009C1E9A" w:rsidRDefault="006248F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23875-D</w:t>
          </w:r>
        </w:p>
      </w:tc>
      <w:tc>
        <w:tcPr>
          <w:tcW w:w="2453" w:type="pct"/>
        </w:tcPr>
        <w:p w14:paraId="7280D542" w14:textId="6C773636" w:rsidR="00EC379B" w:rsidRDefault="006248F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9691A">
            <w:t>23.106.400</w:t>
          </w:r>
          <w:r>
            <w:fldChar w:fldCharType="end"/>
          </w:r>
        </w:p>
      </w:tc>
    </w:tr>
    <w:tr w:rsidR="00D24B0A" w14:paraId="20417E04" w14:textId="77777777" w:rsidTr="009C1E9A">
      <w:trPr>
        <w:cantSplit/>
      </w:trPr>
      <w:tc>
        <w:tcPr>
          <w:tcW w:w="0" w:type="pct"/>
        </w:tcPr>
        <w:p w14:paraId="438E768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B6623A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872E59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ADE612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24B0A" w14:paraId="234E04D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B8C346D" w14:textId="77777777" w:rsidR="00EC379B" w:rsidRDefault="006248F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CC3EC5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31D94E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95D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3C4A" w14:textId="77777777" w:rsidR="00000000" w:rsidRDefault="006248F8">
      <w:r>
        <w:separator/>
      </w:r>
    </w:p>
  </w:footnote>
  <w:footnote w:type="continuationSeparator" w:id="0">
    <w:p w14:paraId="5BA7084D" w14:textId="77777777" w:rsidR="00000000" w:rsidRDefault="00624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E08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B16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168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D4954"/>
    <w:multiLevelType w:val="hybridMultilevel"/>
    <w:tmpl w:val="A34C3D12"/>
    <w:lvl w:ilvl="0" w:tplc="0CB038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3CE5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0C4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69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2B7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CA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A3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2B9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94F4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65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7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F0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799"/>
    <w:rsid w:val="00080D95"/>
    <w:rsid w:val="000906D8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1269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20FD"/>
    <w:rsid w:val="0020775D"/>
    <w:rsid w:val="002116DD"/>
    <w:rsid w:val="00211C2A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88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3EC2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4DBA"/>
    <w:rsid w:val="002F795D"/>
    <w:rsid w:val="00300823"/>
    <w:rsid w:val="00300D7F"/>
    <w:rsid w:val="00301638"/>
    <w:rsid w:val="00303B0C"/>
    <w:rsid w:val="0030459C"/>
    <w:rsid w:val="00305C54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6778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108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2D9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8F8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3A78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5EB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600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A69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1CF8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82F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AD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088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2E2D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00FC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83D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39A0"/>
    <w:rsid w:val="00AB474B"/>
    <w:rsid w:val="00AB5CCC"/>
    <w:rsid w:val="00AB74E2"/>
    <w:rsid w:val="00AC2E9A"/>
    <w:rsid w:val="00AC5AAB"/>
    <w:rsid w:val="00AC5AEC"/>
    <w:rsid w:val="00AC5F28"/>
    <w:rsid w:val="00AC6900"/>
    <w:rsid w:val="00AC7F14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65EA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4F4D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4A0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AF9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91A"/>
    <w:rsid w:val="00CA02B0"/>
    <w:rsid w:val="00CA032E"/>
    <w:rsid w:val="00CA1CC9"/>
    <w:rsid w:val="00CA2182"/>
    <w:rsid w:val="00CA2186"/>
    <w:rsid w:val="00CA26EF"/>
    <w:rsid w:val="00CA3608"/>
    <w:rsid w:val="00CA407A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32E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B0A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AB0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279D1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377A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83AC1D-D10C-4735-8A65-5162D2A7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F64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64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64A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6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64A0"/>
    <w:rPr>
      <w:b/>
      <w:bCs/>
    </w:rPr>
  </w:style>
  <w:style w:type="paragraph" w:styleId="Revision">
    <w:name w:val="Revision"/>
    <w:hidden/>
    <w:uiPriority w:val="99"/>
    <w:semiHidden/>
    <w:rsid w:val="00877ADA"/>
    <w:rPr>
      <w:sz w:val="24"/>
      <w:szCs w:val="24"/>
    </w:rPr>
  </w:style>
  <w:style w:type="character" w:styleId="Hyperlink">
    <w:name w:val="Hyperlink"/>
    <w:basedOn w:val="DefaultParagraphFont"/>
    <w:unhideWhenUsed/>
    <w:rsid w:val="009B00F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00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906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2572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HB03849 (Committee Report (Unamended))</vt:lpstr>
    </vt:vector>
  </TitlesOfParts>
  <Company>State of Texas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23875</dc:subject>
  <dc:creator>State of Texas</dc:creator>
  <dc:description>HB 3849 by Bell, Cecil-(H)Pensions, Investments &amp; Financial Services</dc:description>
  <cp:lastModifiedBy>Stacey Nicchio</cp:lastModifiedBy>
  <cp:revision>2</cp:revision>
  <cp:lastPrinted>2003-11-26T17:21:00Z</cp:lastPrinted>
  <dcterms:created xsi:type="dcterms:W3CDTF">2023-04-24T18:29:00Z</dcterms:created>
  <dcterms:modified xsi:type="dcterms:W3CDTF">2023-04-24T18:29:00Z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23.106.400</vt:lpwstr>
  </property>
</Properties>
</file>