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F736A" w14:paraId="7BE4D773" w14:textId="77777777" w:rsidTr="00345119">
        <w:tc>
          <w:tcPr>
            <w:tcW w:w="9576" w:type="dxa"/>
            <w:noWrap/>
          </w:tcPr>
          <w:p w14:paraId="6BAD8C1B" w14:textId="77777777" w:rsidR="008423E4" w:rsidRPr="0022177D" w:rsidRDefault="00410915" w:rsidP="007F0F30">
            <w:pPr>
              <w:pStyle w:val="Heading1"/>
            </w:pPr>
            <w:r w:rsidRPr="00631897">
              <w:t>BILL ANALYSIS</w:t>
            </w:r>
          </w:p>
        </w:tc>
      </w:tr>
    </w:tbl>
    <w:p w14:paraId="152A497F" w14:textId="77777777" w:rsidR="008423E4" w:rsidRPr="0022177D" w:rsidRDefault="008423E4" w:rsidP="007F0F30">
      <w:pPr>
        <w:jc w:val="center"/>
      </w:pPr>
    </w:p>
    <w:p w14:paraId="12524436" w14:textId="77777777" w:rsidR="008423E4" w:rsidRPr="00B31F0E" w:rsidRDefault="008423E4" w:rsidP="007F0F30"/>
    <w:p w14:paraId="790F927F" w14:textId="77777777" w:rsidR="008423E4" w:rsidRPr="00742794" w:rsidRDefault="008423E4" w:rsidP="007F0F3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736A" w14:paraId="2FF9307A" w14:textId="77777777" w:rsidTr="00345119">
        <w:tc>
          <w:tcPr>
            <w:tcW w:w="9576" w:type="dxa"/>
          </w:tcPr>
          <w:p w14:paraId="65740BE5" w14:textId="222EB52F" w:rsidR="008423E4" w:rsidRPr="00861995" w:rsidRDefault="00410915" w:rsidP="007F0F30">
            <w:pPr>
              <w:jc w:val="right"/>
            </w:pPr>
            <w:r>
              <w:t>C.S.H.B. 3859</w:t>
            </w:r>
          </w:p>
        </w:tc>
      </w:tr>
      <w:tr w:rsidR="001F736A" w14:paraId="041E07C2" w14:textId="77777777" w:rsidTr="00345119">
        <w:tc>
          <w:tcPr>
            <w:tcW w:w="9576" w:type="dxa"/>
          </w:tcPr>
          <w:p w14:paraId="05C57B76" w14:textId="1907A1FD" w:rsidR="008423E4" w:rsidRPr="00861995" w:rsidRDefault="00410915" w:rsidP="007F0F30">
            <w:pPr>
              <w:jc w:val="right"/>
            </w:pPr>
            <w:r>
              <w:t xml:space="preserve">By: </w:t>
            </w:r>
            <w:r w:rsidR="000B07DB">
              <w:t>Leo-Wilson</w:t>
            </w:r>
          </w:p>
        </w:tc>
      </w:tr>
      <w:tr w:rsidR="001F736A" w14:paraId="49B130F6" w14:textId="77777777" w:rsidTr="00345119">
        <w:tc>
          <w:tcPr>
            <w:tcW w:w="9576" w:type="dxa"/>
          </w:tcPr>
          <w:p w14:paraId="0F1C3F33" w14:textId="42241E2C" w:rsidR="008423E4" w:rsidRPr="00861995" w:rsidRDefault="00410915" w:rsidP="007F0F30">
            <w:pPr>
              <w:jc w:val="right"/>
            </w:pPr>
            <w:r>
              <w:t>Land &amp; Resource Management</w:t>
            </w:r>
          </w:p>
        </w:tc>
      </w:tr>
      <w:tr w:rsidR="001F736A" w14:paraId="5C6F304F" w14:textId="77777777" w:rsidTr="00345119">
        <w:tc>
          <w:tcPr>
            <w:tcW w:w="9576" w:type="dxa"/>
          </w:tcPr>
          <w:p w14:paraId="2DB0385E" w14:textId="7C53DCA0" w:rsidR="008423E4" w:rsidRDefault="00410915" w:rsidP="007F0F30">
            <w:pPr>
              <w:jc w:val="right"/>
            </w:pPr>
            <w:r>
              <w:t>Committee Report (Substituted)</w:t>
            </w:r>
          </w:p>
        </w:tc>
      </w:tr>
    </w:tbl>
    <w:p w14:paraId="309D2F73" w14:textId="77777777" w:rsidR="008423E4" w:rsidRDefault="008423E4" w:rsidP="007F0F30">
      <w:pPr>
        <w:tabs>
          <w:tab w:val="right" w:pos="9360"/>
        </w:tabs>
      </w:pPr>
    </w:p>
    <w:p w14:paraId="19322612" w14:textId="77777777" w:rsidR="008423E4" w:rsidRDefault="008423E4" w:rsidP="007F0F30"/>
    <w:p w14:paraId="33EB4B78" w14:textId="77777777" w:rsidR="008423E4" w:rsidRDefault="008423E4" w:rsidP="007F0F3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F736A" w14:paraId="0C10BA4C" w14:textId="77777777" w:rsidTr="00345119">
        <w:tc>
          <w:tcPr>
            <w:tcW w:w="9576" w:type="dxa"/>
          </w:tcPr>
          <w:p w14:paraId="64BB06A5" w14:textId="77777777" w:rsidR="008423E4" w:rsidRPr="00A8133F" w:rsidRDefault="00410915" w:rsidP="007F0F3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FACFCA" w14:textId="77777777" w:rsidR="008423E4" w:rsidRDefault="008423E4" w:rsidP="007F0F30"/>
          <w:p w14:paraId="32026F25" w14:textId="7ED06857" w:rsidR="008423E4" w:rsidRDefault="00410915" w:rsidP="007F0F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City of Galveston's beach access and use plan was approved in 1993 and has </w:t>
            </w:r>
            <w:r w:rsidR="00E90491">
              <w:t xml:space="preserve">since </w:t>
            </w:r>
            <w:r>
              <w:t>been amended 10 times. The most recent amendment prevents the city from acting within a state-granted charge to adopt applicable rules and requirements that address the ma</w:t>
            </w:r>
            <w:r>
              <w:t xml:space="preserve">nagement and use of a public beach, the care and protection of sand dunes, and </w:t>
            </w:r>
            <w:r w:rsidR="00E90491">
              <w:t xml:space="preserve">the </w:t>
            </w:r>
            <w:r>
              <w:t>reduc</w:t>
            </w:r>
            <w:r w:rsidR="00E90491">
              <w:t>tion of</w:t>
            </w:r>
            <w:r>
              <w:t xml:space="preserve"> public expenditures for erosion and storm damage losses. The </w:t>
            </w:r>
            <w:r w:rsidR="00E90491">
              <w:t>c</w:t>
            </w:r>
            <w:r>
              <w:t xml:space="preserve">ity is seeking to remove vehicular traffic from the beach </w:t>
            </w:r>
            <w:r w:rsidR="00E90491" w:rsidRPr="00E90491">
              <w:t xml:space="preserve">in several areas </w:t>
            </w:r>
            <w:r>
              <w:t>and provide an alternat</w:t>
            </w:r>
            <w:r>
              <w:t xml:space="preserve">ive for access </w:t>
            </w:r>
            <w:r w:rsidR="00C43718">
              <w:t xml:space="preserve">that </w:t>
            </w:r>
            <w:r>
              <w:t>includ</w:t>
            </w:r>
            <w:r w:rsidR="00C43718">
              <w:t>es</w:t>
            </w:r>
            <w:r>
              <w:t xml:space="preserve"> adequate parking, pedestrian paths</w:t>
            </w:r>
            <w:r w:rsidR="00C43718">
              <w:t>,</w:t>
            </w:r>
            <w:r>
              <w:t xml:space="preserve"> and signage</w:t>
            </w:r>
            <w:r w:rsidR="00C43718">
              <w:t xml:space="preserve"> and that is compliant with the Open Beaches Act</w:t>
            </w:r>
            <w:r>
              <w:t xml:space="preserve">. However, the </w:t>
            </w:r>
            <w:r w:rsidR="00913D98">
              <w:t>c</w:t>
            </w:r>
            <w:r>
              <w:t>ity</w:t>
            </w:r>
            <w:r w:rsidR="0098151E">
              <w:t xml:space="preserve"> is</w:t>
            </w:r>
            <w:r>
              <w:t xml:space="preserve"> in a situation where </w:t>
            </w:r>
            <w:r w:rsidR="00913D98">
              <w:t>this</w:t>
            </w:r>
            <w:r>
              <w:t xml:space="preserve"> conditional compliance is being treated as probationary non-compliance.</w:t>
            </w:r>
            <w:r w:rsidR="0098151E">
              <w:t xml:space="preserve"> </w:t>
            </w:r>
            <w:r w:rsidR="00913D98">
              <w:t>C.S.</w:t>
            </w:r>
            <w:r>
              <w:t>H</w:t>
            </w:r>
            <w:r w:rsidR="00913D98">
              <w:t>.</w:t>
            </w:r>
            <w:r>
              <w:t>B</w:t>
            </w:r>
            <w:r w:rsidR="00913D98">
              <w:t>.</w:t>
            </w:r>
            <w:r>
              <w:t xml:space="preserve"> 38</w:t>
            </w:r>
            <w:r>
              <w:t>59</w:t>
            </w:r>
            <w:r w:rsidR="00913D98">
              <w:t xml:space="preserve"> seeks to address this issue and </w:t>
            </w:r>
            <w:r>
              <w:t>provide some flexibility</w:t>
            </w:r>
            <w:r w:rsidR="00913D98">
              <w:t xml:space="preserve"> by </w:t>
            </w:r>
            <w:r w:rsidR="00913D98" w:rsidRPr="00913D98">
              <w:t>authoriz</w:t>
            </w:r>
            <w:r w:rsidR="00913D98">
              <w:t>ing</w:t>
            </w:r>
            <w:r w:rsidR="00913D98" w:rsidRPr="00913D98">
              <w:t xml:space="preserve"> the commissioner of the General Land Office to partially approve the proposed beach access and use plan of </w:t>
            </w:r>
            <w:r w:rsidR="00913D98">
              <w:t>certain</w:t>
            </w:r>
            <w:r w:rsidR="00913D98" w:rsidRPr="00913D98">
              <w:t xml:space="preserve"> local government</w:t>
            </w:r>
            <w:r w:rsidR="00913D98">
              <w:t>s</w:t>
            </w:r>
            <w:r w:rsidR="00964A80">
              <w:t>, which</w:t>
            </w:r>
            <w:r>
              <w:t xml:space="preserve"> would allow the </w:t>
            </w:r>
            <w:r w:rsidR="00964A80">
              <w:t>city</w:t>
            </w:r>
            <w:r>
              <w:t xml:space="preserve"> to make </w:t>
            </w:r>
            <w:r w:rsidR="00964A80">
              <w:t xml:space="preserve">needed </w:t>
            </w:r>
            <w:r>
              <w:t>corrections</w:t>
            </w:r>
            <w:r w:rsidR="00964A80">
              <w:t xml:space="preserve"> to </w:t>
            </w:r>
            <w:r w:rsidR="0098151E">
              <w:t>its</w:t>
            </w:r>
            <w:r w:rsidR="00964A80">
              <w:t xml:space="preserve"> plan</w:t>
            </w:r>
            <w:r>
              <w:t xml:space="preserve"> without slowing down the process for </w:t>
            </w:r>
            <w:r w:rsidR="00964A80">
              <w:t>the</w:t>
            </w:r>
            <w:r>
              <w:t xml:space="preserve"> adopt</w:t>
            </w:r>
            <w:r w:rsidR="00964A80">
              <w:t>ion of</w:t>
            </w:r>
            <w:r>
              <w:t xml:space="preserve"> rules and requirements for the </w:t>
            </w:r>
            <w:r w:rsidR="00964A80">
              <w:t xml:space="preserve">approved </w:t>
            </w:r>
            <w:r>
              <w:t xml:space="preserve">portion of the plan. </w:t>
            </w:r>
          </w:p>
          <w:p w14:paraId="226EB489" w14:textId="77777777" w:rsidR="008423E4" w:rsidRPr="00E26B13" w:rsidRDefault="008423E4" w:rsidP="007F0F30">
            <w:pPr>
              <w:rPr>
                <w:b/>
              </w:rPr>
            </w:pPr>
          </w:p>
        </w:tc>
      </w:tr>
      <w:tr w:rsidR="001F736A" w14:paraId="6E44D355" w14:textId="77777777" w:rsidTr="00345119">
        <w:tc>
          <w:tcPr>
            <w:tcW w:w="9576" w:type="dxa"/>
          </w:tcPr>
          <w:p w14:paraId="78C7B6DE" w14:textId="77777777" w:rsidR="0017725B" w:rsidRDefault="00410915" w:rsidP="007F0F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BF6ADF" w14:textId="77777777" w:rsidR="0017725B" w:rsidRDefault="0017725B" w:rsidP="007F0F30">
            <w:pPr>
              <w:rPr>
                <w:b/>
                <w:u w:val="single"/>
              </w:rPr>
            </w:pPr>
          </w:p>
          <w:p w14:paraId="4BE0B384" w14:textId="0653AA4B" w:rsidR="00B94B52" w:rsidRPr="00B94B52" w:rsidRDefault="00410915" w:rsidP="007F0F30">
            <w:pPr>
              <w:jc w:val="both"/>
            </w:pPr>
            <w:r>
              <w:t>It is the committee's opinion that this bill does not expressly create a criminal o</w:t>
            </w:r>
            <w:r>
              <w:t>ffense, increase the punishment for an existing criminal offense or category of offenses, or change the eligibility of a person for community supervision, parole, or mandatory supervision.</w:t>
            </w:r>
          </w:p>
          <w:p w14:paraId="722E1E14" w14:textId="77777777" w:rsidR="0017725B" w:rsidRPr="0017725B" w:rsidRDefault="0017725B" w:rsidP="007F0F30">
            <w:pPr>
              <w:rPr>
                <w:b/>
                <w:u w:val="single"/>
              </w:rPr>
            </w:pPr>
          </w:p>
        </w:tc>
      </w:tr>
      <w:tr w:rsidR="001F736A" w14:paraId="147A6D51" w14:textId="77777777" w:rsidTr="00345119">
        <w:tc>
          <w:tcPr>
            <w:tcW w:w="9576" w:type="dxa"/>
          </w:tcPr>
          <w:p w14:paraId="616C5DA3" w14:textId="77777777" w:rsidR="008423E4" w:rsidRPr="00A8133F" w:rsidRDefault="00410915" w:rsidP="007F0F3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5511680" w14:textId="77777777" w:rsidR="008423E4" w:rsidRDefault="008423E4" w:rsidP="007F0F30"/>
          <w:p w14:paraId="16CCB89F" w14:textId="46D36E73" w:rsidR="007378CE" w:rsidRDefault="00410915" w:rsidP="007F0F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</w:t>
            </w:r>
            <w:r>
              <w:t>ll does not expressly grant any additional rulemaking authority to a state officer, department, agency, or institution.</w:t>
            </w:r>
          </w:p>
          <w:p w14:paraId="376E1077" w14:textId="77777777" w:rsidR="008423E4" w:rsidRPr="00E21FDC" w:rsidRDefault="008423E4" w:rsidP="007F0F30">
            <w:pPr>
              <w:rPr>
                <w:b/>
              </w:rPr>
            </w:pPr>
          </w:p>
        </w:tc>
      </w:tr>
      <w:tr w:rsidR="001F736A" w14:paraId="31A7BFCA" w14:textId="77777777" w:rsidTr="00345119">
        <w:tc>
          <w:tcPr>
            <w:tcW w:w="9576" w:type="dxa"/>
          </w:tcPr>
          <w:p w14:paraId="37C065DD" w14:textId="77777777" w:rsidR="008423E4" w:rsidRPr="00A8133F" w:rsidRDefault="00410915" w:rsidP="007F0F3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1093EB" w14:textId="77777777" w:rsidR="008423E4" w:rsidRDefault="008423E4" w:rsidP="007F0F30"/>
          <w:p w14:paraId="2749BE7D" w14:textId="4C7E1034" w:rsidR="00CC30E6" w:rsidRDefault="00410915" w:rsidP="007F0F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3859 amends the </w:t>
            </w:r>
            <w:r w:rsidRPr="00504110">
              <w:t>Natural Resources Code</w:t>
            </w:r>
            <w:r>
              <w:t xml:space="preserve"> to authorize </w:t>
            </w:r>
            <w:r w:rsidRPr="00504110">
              <w:t xml:space="preserve">the </w:t>
            </w:r>
            <w:r>
              <w:t>c</w:t>
            </w:r>
            <w:r w:rsidRPr="00504110">
              <w:t>ommissioner</w:t>
            </w:r>
            <w:r w:rsidRPr="00504110">
              <w:t xml:space="preserve"> of the General Land Office</w:t>
            </w:r>
            <w:r>
              <w:t xml:space="preserve"> to</w:t>
            </w:r>
            <w:r w:rsidRPr="00504110">
              <w:t xml:space="preserve"> partially approve </w:t>
            </w:r>
            <w:r>
              <w:t>the</w:t>
            </w:r>
            <w:r w:rsidRPr="00504110">
              <w:t xml:space="preserve"> proposed beach access and use plan </w:t>
            </w:r>
            <w:r>
              <w:t>of a local government that is a county</w:t>
            </w:r>
            <w:r w:rsidR="0090408B">
              <w:t xml:space="preserve">, </w:t>
            </w:r>
            <w:r>
              <w:t>or that is</w:t>
            </w:r>
            <w:r w:rsidR="0090408B">
              <w:t xml:space="preserve"> </w:t>
            </w:r>
            <w:r w:rsidR="0090408B" w:rsidRPr="0090408B">
              <w:t xml:space="preserve">a local government located wholly or partly in </w:t>
            </w:r>
            <w:r w:rsidR="0074768A">
              <w:t>such</w:t>
            </w:r>
            <w:r w:rsidR="0090408B" w:rsidRPr="0090408B">
              <w:t xml:space="preserve"> county</w:t>
            </w:r>
            <w:r w:rsidR="0090408B">
              <w:t>,</w:t>
            </w:r>
            <w:r>
              <w:t xml:space="preserve"> having a population of more than 350,000 and less than 37</w:t>
            </w:r>
            <w:r>
              <w:t>0,000 that borders the Gulf of Mexico and is adjacent to a county having a population of 4.5 million or more</w:t>
            </w:r>
            <w:r w:rsidRPr="00504110">
              <w:t xml:space="preserve">. </w:t>
            </w:r>
            <w:r>
              <w:t>The bill authorizes the local government, i</w:t>
            </w:r>
            <w:r w:rsidRPr="00504110">
              <w:t>f the commissioner partially approves the proposed plan,</w:t>
            </w:r>
            <w:r>
              <w:t xml:space="preserve"> to</w:t>
            </w:r>
            <w:r w:rsidRPr="00504110">
              <w:t xml:space="preserve"> submit to the commissioner subsequent amendments only for the portions of the plan that are partially approved.</w:t>
            </w:r>
            <w:r>
              <w:t xml:space="preserve"> The amendments must be certified consistent</w:t>
            </w:r>
            <w:r w:rsidR="00127482">
              <w:t xml:space="preserve"> </w:t>
            </w:r>
            <w:r w:rsidR="00127482" w:rsidRPr="00127482">
              <w:t>with provisions relating to dunes</w:t>
            </w:r>
            <w:r w:rsidR="00127482">
              <w:t xml:space="preserve"> and</w:t>
            </w:r>
            <w:r>
              <w:t xml:space="preserve"> with</w:t>
            </w:r>
            <w:r w:rsidR="003C3891">
              <w:t xml:space="preserve"> provisions relating to state policy and rules regarding</w:t>
            </w:r>
            <w:r w:rsidR="0074768A">
              <w:t xml:space="preserve"> </w:t>
            </w:r>
            <w:r w:rsidR="003C3891">
              <w:t>public beach</w:t>
            </w:r>
            <w:r w:rsidR="0074768A">
              <w:t xml:space="preserve"> access</w:t>
            </w:r>
            <w:r w:rsidR="00127482">
              <w:t xml:space="preserve"> and rules adopted under </w:t>
            </w:r>
            <w:r w:rsidR="00031FCE">
              <w:t>such</w:t>
            </w:r>
            <w:r w:rsidR="00127482">
              <w:t xml:space="preserve"> provisions</w:t>
            </w:r>
            <w:r w:rsidR="003C3891">
              <w:t>.</w:t>
            </w:r>
          </w:p>
          <w:p w14:paraId="2E3C0617" w14:textId="652DF21E" w:rsidR="00504110" w:rsidRDefault="00504110" w:rsidP="007F0F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BF7DCC6" w14:textId="68B29772" w:rsidR="00272EAA" w:rsidRDefault="00410915" w:rsidP="007F0F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</w:t>
            </w:r>
            <w:r w:rsidR="0074768A">
              <w:t xml:space="preserve"> 3859</w:t>
            </w:r>
            <w:r>
              <w:t xml:space="preserve"> requires the commissioner, in the event of a partial approval, to </w:t>
            </w:r>
            <w:r w:rsidRPr="00272EAA">
              <w:t xml:space="preserve">send the unapproved portions back to the originating local government with a statement of specific objections and </w:t>
            </w:r>
            <w:r w:rsidRPr="00272EAA">
              <w:t>the reasons for denial, along with suggested modifications</w:t>
            </w:r>
            <w:r>
              <w:t>, and requires the local government,</w:t>
            </w:r>
            <w:r w:rsidRPr="00272EAA">
              <w:t xml:space="preserve"> </w:t>
            </w:r>
            <w:r>
              <w:t>o</w:t>
            </w:r>
            <w:r w:rsidRPr="00272EAA">
              <w:t xml:space="preserve">n receipt, </w:t>
            </w:r>
            <w:r>
              <w:t>to</w:t>
            </w:r>
            <w:r w:rsidRPr="00272EAA">
              <w:t xml:space="preserve"> revise and resubmit the unapproved portions</w:t>
            </w:r>
            <w:r>
              <w:t>.</w:t>
            </w:r>
          </w:p>
          <w:p w14:paraId="19CEE805" w14:textId="7E52AA1F" w:rsidR="008423E4" w:rsidRPr="00835628" w:rsidRDefault="008423E4" w:rsidP="007F0F3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F736A" w14:paraId="53211BD3" w14:textId="77777777" w:rsidTr="00345119">
        <w:tc>
          <w:tcPr>
            <w:tcW w:w="9576" w:type="dxa"/>
          </w:tcPr>
          <w:p w14:paraId="0B757629" w14:textId="77777777" w:rsidR="008423E4" w:rsidRPr="00A8133F" w:rsidRDefault="00410915" w:rsidP="007F0F3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42CB34" w14:textId="77777777" w:rsidR="008423E4" w:rsidRDefault="008423E4" w:rsidP="007F0F30"/>
          <w:p w14:paraId="017A483C" w14:textId="2F5F4B12" w:rsidR="008423E4" w:rsidRPr="003624F2" w:rsidRDefault="00410915" w:rsidP="007F0F3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</w:t>
            </w:r>
            <w:r>
              <w:t>.</w:t>
            </w:r>
          </w:p>
          <w:p w14:paraId="4B31DE11" w14:textId="77777777" w:rsidR="008423E4" w:rsidRPr="00233FDB" w:rsidRDefault="008423E4" w:rsidP="007F0F30">
            <w:pPr>
              <w:rPr>
                <w:b/>
              </w:rPr>
            </w:pPr>
          </w:p>
        </w:tc>
      </w:tr>
      <w:tr w:rsidR="001F736A" w14:paraId="26CED885" w14:textId="77777777" w:rsidTr="00345119">
        <w:tc>
          <w:tcPr>
            <w:tcW w:w="9576" w:type="dxa"/>
          </w:tcPr>
          <w:p w14:paraId="7ECD557A" w14:textId="77777777" w:rsidR="000B07DB" w:rsidRDefault="00410915" w:rsidP="007F0F3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44ACD7C" w14:textId="77777777" w:rsidR="00556E32" w:rsidRDefault="00556E32" w:rsidP="007F0F30">
            <w:pPr>
              <w:jc w:val="both"/>
            </w:pPr>
          </w:p>
          <w:p w14:paraId="6B551D62" w14:textId="690B3445" w:rsidR="00556E32" w:rsidRDefault="00410915" w:rsidP="007F0F30">
            <w:pPr>
              <w:jc w:val="both"/>
            </w:pPr>
            <w:r>
              <w:t>While C.S.H.B. 3859 may differ from the introduced in minor or nonsubstantive ways, the following summarizes the substantial differences between the introduced and committee substitute versions of the bill.</w:t>
            </w:r>
          </w:p>
          <w:p w14:paraId="6DE1216A" w14:textId="70CBE45A" w:rsidR="009F4662" w:rsidRDefault="009F4662" w:rsidP="007F0F30">
            <w:pPr>
              <w:jc w:val="both"/>
            </w:pPr>
          </w:p>
          <w:p w14:paraId="573DD615" w14:textId="77777777" w:rsidR="00B3520E" w:rsidRDefault="00410915" w:rsidP="007F0F30">
            <w:pPr>
              <w:jc w:val="both"/>
            </w:pPr>
            <w:r>
              <w:t>The</w:t>
            </w:r>
            <w:r>
              <w:t xml:space="preserve"> substitute restricts the </w:t>
            </w:r>
            <w:r w:rsidRPr="00B3520E">
              <w:t>proposed beach access and use plan</w:t>
            </w:r>
            <w:r>
              <w:t xml:space="preserve">s that may be partially approved to those of a </w:t>
            </w:r>
            <w:r w:rsidRPr="00B3520E">
              <w:t>local government that is a county, or that is a local government located wholly or partly in such county, having a population of more than 350,000 an</w:t>
            </w:r>
            <w:r w:rsidRPr="00B3520E">
              <w:t>d less than 370,000 that borders the Gulf of Mexico and is adjacent to a county having a population of 4.5 million or more</w:t>
            </w:r>
            <w:r>
              <w:t>, whereas the introduced did not include any such restriction.</w:t>
            </w:r>
          </w:p>
          <w:p w14:paraId="207034F9" w14:textId="77777777" w:rsidR="00B3520E" w:rsidRDefault="00B3520E" w:rsidP="007F0F30">
            <w:pPr>
              <w:jc w:val="both"/>
            </w:pPr>
          </w:p>
          <w:p w14:paraId="20A62FDE" w14:textId="77777777" w:rsidR="00B3520E" w:rsidRDefault="00410915" w:rsidP="007F0F30">
            <w:pPr>
              <w:jc w:val="both"/>
            </w:pPr>
            <w:r>
              <w:t>The substitute omits provisions present in the introduced that did the</w:t>
            </w:r>
            <w:r>
              <w:t xml:space="preserve"> following:</w:t>
            </w:r>
          </w:p>
          <w:p w14:paraId="590452D8" w14:textId="0BFC2C1A" w:rsidR="009F4662" w:rsidRDefault="00410915" w:rsidP="007F0F30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r</w:t>
            </w:r>
            <w:r w:rsidR="00B3520E">
              <w:t xml:space="preserve">equired the commissioner, in </w:t>
            </w:r>
            <w:r w:rsidR="00B3520E" w:rsidRPr="00B3520E">
              <w:t xml:space="preserve">partially approving </w:t>
            </w:r>
            <w:r w:rsidR="00B3520E">
              <w:t>a</w:t>
            </w:r>
            <w:r w:rsidR="00B3520E" w:rsidRPr="00B3520E">
              <w:t xml:space="preserve"> plan</w:t>
            </w:r>
            <w:r w:rsidR="00B3520E">
              <w:t xml:space="preserve">, to also </w:t>
            </w:r>
            <w:r w:rsidR="00B3520E" w:rsidRPr="00B3520E">
              <w:t>identify geographic areas of noncompliance</w:t>
            </w:r>
            <w:r w:rsidR="00B3520E">
              <w:t>; and</w:t>
            </w:r>
          </w:p>
          <w:p w14:paraId="2016C988" w14:textId="64348EED" w:rsidR="00B3520E" w:rsidRDefault="00410915" w:rsidP="007F0F30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B3520E">
              <w:t>authorize</w:t>
            </w:r>
            <w:r>
              <w:t>d</w:t>
            </w:r>
            <w:r w:rsidRPr="00B3520E">
              <w:t xml:space="preserve"> a local government, in the event of a partial approval, to adopt rules and requirements for the portion of the plan that has been approved.</w:t>
            </w:r>
          </w:p>
          <w:p w14:paraId="4F5BFDC0" w14:textId="17229EEC" w:rsidR="00377823" w:rsidRDefault="00377823" w:rsidP="007F0F30">
            <w:pPr>
              <w:jc w:val="both"/>
            </w:pPr>
          </w:p>
          <w:p w14:paraId="263773FD" w14:textId="486617F0" w:rsidR="00377823" w:rsidRDefault="00410915" w:rsidP="007F0F30">
            <w:pPr>
              <w:jc w:val="both"/>
            </w:pPr>
            <w:r w:rsidRPr="00377823">
              <w:t>The substitute includes provisions absent in the introduced that</w:t>
            </w:r>
            <w:r>
              <w:t xml:space="preserve"> do the following:</w:t>
            </w:r>
          </w:p>
          <w:p w14:paraId="2AB1BA30" w14:textId="6549293D" w:rsidR="00377823" w:rsidRDefault="00410915" w:rsidP="007F0F3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authorize a local government, i</w:t>
            </w:r>
            <w:r>
              <w:t>f the commissioner partially approves a proposed plan, to submit to the commissioner subsequent amendments only for the portions of the plan that are partially approved;</w:t>
            </w:r>
          </w:p>
          <w:p w14:paraId="22377CC8" w14:textId="5A84D9DB" w:rsidR="00377823" w:rsidRDefault="00410915" w:rsidP="007F0F3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require such amendments to be certified consistent with provisions relating to dunes a</w:t>
            </w:r>
            <w:r>
              <w:t>nd with provisions relating to state policy and rules regarding public beach access and rules adopted under such provisions;</w:t>
            </w:r>
          </w:p>
          <w:p w14:paraId="740E34CA" w14:textId="77777777" w:rsidR="00377823" w:rsidRDefault="00410915" w:rsidP="007F0F3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require the commissioner, in the event of a partial approval, to send the unapproved portions  back to the originating local govern</w:t>
            </w:r>
            <w:r>
              <w:t xml:space="preserve">ment with a statement of specific objections and the reasons for denial, along with suggested modifications; and </w:t>
            </w:r>
          </w:p>
          <w:p w14:paraId="0FB12C8E" w14:textId="35A6844B" w:rsidR="00377823" w:rsidRDefault="00410915" w:rsidP="007F0F3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require the local government, on receipt of such, to revise and resubmit the unapproved portions.</w:t>
            </w:r>
          </w:p>
          <w:p w14:paraId="502E1400" w14:textId="77777777" w:rsidR="00377823" w:rsidRDefault="00377823" w:rsidP="007F0F30">
            <w:pPr>
              <w:jc w:val="both"/>
            </w:pPr>
          </w:p>
          <w:p w14:paraId="16787936" w14:textId="3B5533EF" w:rsidR="00556E32" w:rsidRPr="00556E32" w:rsidRDefault="00556E32" w:rsidP="007F0F30">
            <w:pPr>
              <w:jc w:val="both"/>
            </w:pPr>
          </w:p>
        </w:tc>
      </w:tr>
      <w:tr w:rsidR="001F736A" w14:paraId="453FDE2C" w14:textId="77777777" w:rsidTr="00345119">
        <w:tc>
          <w:tcPr>
            <w:tcW w:w="9576" w:type="dxa"/>
          </w:tcPr>
          <w:p w14:paraId="298DF013" w14:textId="77777777" w:rsidR="000B07DB" w:rsidRPr="009C1E9A" w:rsidRDefault="000B07DB" w:rsidP="007F0F30">
            <w:pPr>
              <w:rPr>
                <w:b/>
                <w:u w:val="single"/>
              </w:rPr>
            </w:pPr>
          </w:p>
        </w:tc>
      </w:tr>
      <w:tr w:rsidR="001F736A" w14:paraId="1AFBFCF2" w14:textId="77777777" w:rsidTr="00345119">
        <w:tc>
          <w:tcPr>
            <w:tcW w:w="9576" w:type="dxa"/>
          </w:tcPr>
          <w:p w14:paraId="7A5E9EB8" w14:textId="77777777" w:rsidR="000B07DB" w:rsidRPr="000B07DB" w:rsidRDefault="000B07DB" w:rsidP="007F0F30">
            <w:pPr>
              <w:jc w:val="both"/>
            </w:pPr>
          </w:p>
        </w:tc>
      </w:tr>
    </w:tbl>
    <w:p w14:paraId="3835574D" w14:textId="77777777" w:rsidR="008423E4" w:rsidRPr="00BE0E75" w:rsidRDefault="008423E4" w:rsidP="007F0F30">
      <w:pPr>
        <w:jc w:val="both"/>
        <w:rPr>
          <w:rFonts w:ascii="Arial" w:hAnsi="Arial"/>
          <w:sz w:val="16"/>
          <w:szCs w:val="16"/>
        </w:rPr>
      </w:pPr>
    </w:p>
    <w:p w14:paraId="71630328" w14:textId="77777777" w:rsidR="004108C3" w:rsidRPr="008423E4" w:rsidRDefault="004108C3" w:rsidP="007F0F3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430D" w14:textId="77777777" w:rsidR="00000000" w:rsidRDefault="00410915">
      <w:r>
        <w:separator/>
      </w:r>
    </w:p>
  </w:endnote>
  <w:endnote w:type="continuationSeparator" w:id="0">
    <w:p w14:paraId="5EF0CB6C" w14:textId="77777777" w:rsidR="00000000" w:rsidRDefault="0041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019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736A" w14:paraId="0A3628D8" w14:textId="77777777" w:rsidTr="009C1E9A">
      <w:trPr>
        <w:cantSplit/>
      </w:trPr>
      <w:tc>
        <w:tcPr>
          <w:tcW w:w="0" w:type="pct"/>
        </w:tcPr>
        <w:p w14:paraId="37182E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BBA5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CC25D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D555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74C03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736A" w14:paraId="28ABEA7E" w14:textId="77777777" w:rsidTr="009C1E9A">
      <w:trPr>
        <w:cantSplit/>
      </w:trPr>
      <w:tc>
        <w:tcPr>
          <w:tcW w:w="0" w:type="pct"/>
        </w:tcPr>
        <w:p w14:paraId="5AC998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FB6C67" w14:textId="5FB8569B" w:rsidR="00EC379B" w:rsidRPr="009C1E9A" w:rsidRDefault="0041091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28211-D</w:t>
          </w:r>
        </w:p>
      </w:tc>
      <w:tc>
        <w:tcPr>
          <w:tcW w:w="2453" w:type="pct"/>
        </w:tcPr>
        <w:p w14:paraId="027A4B6B" w14:textId="73470DA2" w:rsidR="00EC379B" w:rsidRDefault="0041091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93165">
            <w:t>23.123.2252</w:t>
          </w:r>
          <w:r>
            <w:fldChar w:fldCharType="end"/>
          </w:r>
        </w:p>
      </w:tc>
    </w:tr>
    <w:tr w:rsidR="001F736A" w14:paraId="28A01E3C" w14:textId="77777777" w:rsidTr="009C1E9A">
      <w:trPr>
        <w:cantSplit/>
      </w:trPr>
      <w:tc>
        <w:tcPr>
          <w:tcW w:w="0" w:type="pct"/>
        </w:tcPr>
        <w:p w14:paraId="664FAB1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963D3A6" w14:textId="7EA6495C" w:rsidR="00EC379B" w:rsidRPr="009C1E9A" w:rsidRDefault="0041091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24918</w:t>
          </w:r>
        </w:p>
      </w:tc>
      <w:tc>
        <w:tcPr>
          <w:tcW w:w="2453" w:type="pct"/>
        </w:tcPr>
        <w:p w14:paraId="25BB3A8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AC23C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736A" w14:paraId="2D99777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1B4B0E6" w14:textId="77777777" w:rsidR="00EC379B" w:rsidRDefault="0041091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BF33D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88055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9DB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DD4A" w14:textId="77777777" w:rsidR="00000000" w:rsidRDefault="00410915">
      <w:r>
        <w:separator/>
      </w:r>
    </w:p>
  </w:footnote>
  <w:footnote w:type="continuationSeparator" w:id="0">
    <w:p w14:paraId="2CBFE789" w14:textId="77777777" w:rsidR="00000000" w:rsidRDefault="0041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D52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9F6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CAE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EE4"/>
    <w:multiLevelType w:val="hybridMultilevel"/>
    <w:tmpl w:val="5D3AD4CC"/>
    <w:lvl w:ilvl="0" w:tplc="1DA0E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C8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A2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E6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2B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8E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A6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1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740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27AD"/>
    <w:multiLevelType w:val="hybridMultilevel"/>
    <w:tmpl w:val="9BC2F7F4"/>
    <w:lvl w:ilvl="0" w:tplc="55041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43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E5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85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E5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A0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3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E8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A9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D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1FCE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165"/>
    <w:rsid w:val="00097AAF"/>
    <w:rsid w:val="00097D13"/>
    <w:rsid w:val="000A4893"/>
    <w:rsid w:val="000A54E0"/>
    <w:rsid w:val="000A72C4"/>
    <w:rsid w:val="000B07DB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529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482"/>
    <w:rsid w:val="00127893"/>
    <w:rsid w:val="001312BB"/>
    <w:rsid w:val="00137D90"/>
    <w:rsid w:val="00141FB6"/>
    <w:rsid w:val="0014254D"/>
    <w:rsid w:val="00142F8E"/>
    <w:rsid w:val="00143A08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C4A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36A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EAA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823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891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915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1E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9AC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DB"/>
    <w:rsid w:val="004F64F6"/>
    <w:rsid w:val="004F69C0"/>
    <w:rsid w:val="00500121"/>
    <w:rsid w:val="005017AC"/>
    <w:rsid w:val="00501E8A"/>
    <w:rsid w:val="00504110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5BD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E32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DED"/>
    <w:rsid w:val="006249CB"/>
    <w:rsid w:val="006272DD"/>
    <w:rsid w:val="0062734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8CE"/>
    <w:rsid w:val="007404BC"/>
    <w:rsid w:val="00740D13"/>
    <w:rsid w:val="00740F5F"/>
    <w:rsid w:val="00742480"/>
    <w:rsid w:val="00742794"/>
    <w:rsid w:val="00743C4C"/>
    <w:rsid w:val="007445B7"/>
    <w:rsid w:val="00744920"/>
    <w:rsid w:val="0074768A"/>
    <w:rsid w:val="007509BE"/>
    <w:rsid w:val="0075287B"/>
    <w:rsid w:val="00755C7B"/>
    <w:rsid w:val="007630AE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F3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EE8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F4C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0A5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08B"/>
    <w:rsid w:val="00904721"/>
    <w:rsid w:val="00907780"/>
    <w:rsid w:val="00907EDD"/>
    <w:rsid w:val="009107AD"/>
    <w:rsid w:val="00913D98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A80"/>
    <w:rsid w:val="00964E3A"/>
    <w:rsid w:val="00967126"/>
    <w:rsid w:val="00970EAE"/>
    <w:rsid w:val="00971627"/>
    <w:rsid w:val="00972797"/>
    <w:rsid w:val="0097279D"/>
    <w:rsid w:val="00976837"/>
    <w:rsid w:val="00980311"/>
    <w:rsid w:val="0098151E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662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DC7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9AE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20E"/>
    <w:rsid w:val="00B37700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B52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718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0E6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536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491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935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A79"/>
    <w:rsid w:val="00FB16CD"/>
    <w:rsid w:val="00FB73AE"/>
    <w:rsid w:val="00FC1A2D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32A301-5D1F-42EC-A169-40904773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378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7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78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7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78CE"/>
    <w:rPr>
      <w:b/>
      <w:bCs/>
    </w:rPr>
  </w:style>
  <w:style w:type="character" w:styleId="Hyperlink">
    <w:name w:val="Hyperlink"/>
    <w:basedOn w:val="DefaultParagraphFont"/>
    <w:unhideWhenUsed/>
    <w:rsid w:val="007378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8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0A7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7823"/>
    <w:pPr>
      <w:ind w:left="720"/>
      <w:contextualSpacing/>
    </w:pPr>
  </w:style>
  <w:style w:type="paragraph" w:styleId="Revision">
    <w:name w:val="Revision"/>
    <w:hidden/>
    <w:uiPriority w:val="99"/>
    <w:semiHidden/>
    <w:rsid w:val="00DF5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4185</Characters>
  <Application>Microsoft Office Word</Application>
  <DocSecurity>4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HB03859 (Committee Report (Substituted))</vt:lpstr>
    </vt:vector>
  </TitlesOfParts>
  <Company>State of Texas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28211</dc:subject>
  <dc:creator>State of Texas</dc:creator>
  <dc:description>HB 3859 by Leo-Wilson-(H)Land &amp; Resource Management (Substitute Document Number: 88R 24918)</dc:description>
  <cp:lastModifiedBy>Matthew Lee</cp:lastModifiedBy>
  <cp:revision>2</cp:revision>
  <cp:lastPrinted>2003-11-26T17:21:00Z</cp:lastPrinted>
  <dcterms:created xsi:type="dcterms:W3CDTF">2023-05-04T16:30:00Z</dcterms:created>
  <dcterms:modified xsi:type="dcterms:W3CDTF">2023-05-04T16:30:00Z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23.123.2252</vt:lpwstr>
  </property>
</Properties>
</file>