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F4E4D" w14:paraId="1D4B630E" w14:textId="77777777" w:rsidTr="00345119">
        <w:tc>
          <w:tcPr>
            <w:tcW w:w="9576" w:type="dxa"/>
            <w:noWrap/>
          </w:tcPr>
          <w:p w14:paraId="21E9B181" w14:textId="77777777" w:rsidR="008423E4" w:rsidRPr="0022177D" w:rsidRDefault="00364B54" w:rsidP="00A167B7">
            <w:pPr>
              <w:pStyle w:val="Heading1"/>
            </w:pPr>
            <w:r w:rsidRPr="00631897">
              <w:t>BILL ANALYSIS</w:t>
            </w:r>
          </w:p>
        </w:tc>
      </w:tr>
    </w:tbl>
    <w:p w14:paraId="7023C49C" w14:textId="77777777" w:rsidR="008423E4" w:rsidRPr="0022177D" w:rsidRDefault="008423E4" w:rsidP="00A167B7">
      <w:pPr>
        <w:jc w:val="center"/>
      </w:pPr>
    </w:p>
    <w:p w14:paraId="273A7B2D" w14:textId="77777777" w:rsidR="008423E4" w:rsidRPr="00B31F0E" w:rsidRDefault="008423E4" w:rsidP="00A167B7"/>
    <w:p w14:paraId="09943369" w14:textId="77777777" w:rsidR="008423E4" w:rsidRPr="00742794" w:rsidRDefault="008423E4" w:rsidP="00A167B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4E4D" w14:paraId="2801AE6E" w14:textId="77777777" w:rsidTr="00345119">
        <w:tc>
          <w:tcPr>
            <w:tcW w:w="9576" w:type="dxa"/>
          </w:tcPr>
          <w:p w14:paraId="1584F041" w14:textId="70BE1259" w:rsidR="008423E4" w:rsidRPr="00861995" w:rsidRDefault="00364B54" w:rsidP="00A167B7">
            <w:pPr>
              <w:jc w:val="right"/>
            </w:pPr>
            <w:r>
              <w:t>H.B. 3871</w:t>
            </w:r>
          </w:p>
        </w:tc>
      </w:tr>
      <w:tr w:rsidR="000F4E4D" w14:paraId="4328A378" w14:textId="77777777" w:rsidTr="00345119">
        <w:tc>
          <w:tcPr>
            <w:tcW w:w="9576" w:type="dxa"/>
          </w:tcPr>
          <w:p w14:paraId="638D6A01" w14:textId="2CE66F7D" w:rsidR="008423E4" w:rsidRPr="00861995" w:rsidRDefault="00364B54" w:rsidP="00A167B7">
            <w:pPr>
              <w:jc w:val="right"/>
            </w:pPr>
            <w:r>
              <w:t xml:space="preserve">By: </w:t>
            </w:r>
            <w:r w:rsidR="00927A6E">
              <w:t>Cook</w:t>
            </w:r>
          </w:p>
        </w:tc>
      </w:tr>
      <w:tr w:rsidR="000F4E4D" w14:paraId="63AED328" w14:textId="77777777" w:rsidTr="00345119">
        <w:tc>
          <w:tcPr>
            <w:tcW w:w="9576" w:type="dxa"/>
          </w:tcPr>
          <w:p w14:paraId="09141D25" w14:textId="6203376B" w:rsidR="008423E4" w:rsidRPr="00861995" w:rsidRDefault="00364B54" w:rsidP="00A167B7">
            <w:pPr>
              <w:jc w:val="right"/>
            </w:pPr>
            <w:r>
              <w:t>Criminal Jurisprudence</w:t>
            </w:r>
          </w:p>
        </w:tc>
      </w:tr>
      <w:tr w:rsidR="000F4E4D" w14:paraId="003F0EFD" w14:textId="77777777" w:rsidTr="00345119">
        <w:tc>
          <w:tcPr>
            <w:tcW w:w="9576" w:type="dxa"/>
          </w:tcPr>
          <w:p w14:paraId="44E780A5" w14:textId="2E1F7A84" w:rsidR="008423E4" w:rsidRDefault="00364B54" w:rsidP="00A167B7">
            <w:pPr>
              <w:jc w:val="right"/>
            </w:pPr>
            <w:r>
              <w:t>Committee Report (Unamended)</w:t>
            </w:r>
          </w:p>
        </w:tc>
      </w:tr>
    </w:tbl>
    <w:p w14:paraId="0E2EB99C" w14:textId="77777777" w:rsidR="008423E4" w:rsidRDefault="008423E4" w:rsidP="00A167B7">
      <w:pPr>
        <w:tabs>
          <w:tab w:val="right" w:pos="9360"/>
        </w:tabs>
      </w:pPr>
    </w:p>
    <w:p w14:paraId="319343E8" w14:textId="77777777" w:rsidR="008423E4" w:rsidRDefault="008423E4" w:rsidP="00A167B7"/>
    <w:p w14:paraId="79A0DFE5" w14:textId="77777777" w:rsidR="008423E4" w:rsidRDefault="008423E4" w:rsidP="00A167B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F4E4D" w14:paraId="0BF6554D" w14:textId="77777777" w:rsidTr="00345119">
        <w:tc>
          <w:tcPr>
            <w:tcW w:w="9576" w:type="dxa"/>
          </w:tcPr>
          <w:p w14:paraId="2BBA4496" w14:textId="77777777" w:rsidR="008423E4" w:rsidRPr="00A8133F" w:rsidRDefault="00364B54" w:rsidP="00A167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E5F3A7" w14:textId="77777777" w:rsidR="008423E4" w:rsidRDefault="008423E4" w:rsidP="00A167B7"/>
          <w:p w14:paraId="47C11A3F" w14:textId="73D87818" w:rsidR="008423E4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practice for filing habeas corpus applications is to file in the county where the person has been charged or is being </w:t>
            </w:r>
            <w:r>
              <w:t>held. In 2022, 430 people arrested and being held in Kinney</w:t>
            </w:r>
            <w:r w:rsidR="00993320">
              <w:t xml:space="preserve"> County</w:t>
            </w:r>
            <w:r>
              <w:t xml:space="preserve"> Court filed habeas corpus applications in Travis County. Upon the hearing of the first of the habeas corpus applications, the Travis County District Court did not transfer the habeas corpus</w:t>
            </w:r>
            <w:r>
              <w:t xml:space="preserve"> application to a Kinney County Court nor allow the Kinney County Attorney to represent the </w:t>
            </w:r>
            <w:r w:rsidR="00993320">
              <w:t>s</w:t>
            </w:r>
            <w:r>
              <w:t>tate</w:t>
            </w:r>
            <w:r w:rsidR="00993320">
              <w:t>'</w:t>
            </w:r>
            <w:r>
              <w:t xml:space="preserve">s interests. Ultimately, the Court of Criminal Appeals issued an opinion that the Travis County District Court could not exercise its jurisdiction outside of </w:t>
            </w:r>
            <w:r>
              <w:t>Travis County. H.B.</w:t>
            </w:r>
            <w:r w:rsidR="001F4AC2">
              <w:t> </w:t>
            </w:r>
            <w:r>
              <w:t xml:space="preserve">3871 </w:t>
            </w:r>
            <w:r w:rsidR="000C4E59">
              <w:t xml:space="preserve">seeks to clarify aspects of the habeas corpus process, to include </w:t>
            </w:r>
            <w:r w:rsidR="008D1895">
              <w:t xml:space="preserve">clarifying </w:t>
            </w:r>
            <w:r w:rsidR="000C4E59">
              <w:t xml:space="preserve">that a court located in the county in which a </w:t>
            </w:r>
            <w:r>
              <w:t xml:space="preserve">felony or misdemeanor case </w:t>
            </w:r>
            <w:r w:rsidR="000C4E59">
              <w:t xml:space="preserve">occurred </w:t>
            </w:r>
            <w:r w:rsidR="008D1895">
              <w:t xml:space="preserve">or </w:t>
            </w:r>
            <w:r w:rsidR="000C4E59">
              <w:t xml:space="preserve">where the defendant is in custody </w:t>
            </w:r>
            <w:r w:rsidR="008D1895">
              <w:t xml:space="preserve">should generally be </w:t>
            </w:r>
            <w:r w:rsidR="000C4E59">
              <w:t>the court that hears and rules upon a habeas corpus application</w:t>
            </w:r>
            <w:r>
              <w:t>.</w:t>
            </w:r>
          </w:p>
          <w:p w14:paraId="5618AECA" w14:textId="77777777" w:rsidR="008423E4" w:rsidRPr="00E26B13" w:rsidRDefault="008423E4" w:rsidP="00A167B7">
            <w:pPr>
              <w:rPr>
                <w:b/>
              </w:rPr>
            </w:pPr>
          </w:p>
        </w:tc>
      </w:tr>
      <w:tr w:rsidR="000F4E4D" w14:paraId="0522F9AF" w14:textId="77777777" w:rsidTr="00345119">
        <w:tc>
          <w:tcPr>
            <w:tcW w:w="9576" w:type="dxa"/>
          </w:tcPr>
          <w:p w14:paraId="04331D41" w14:textId="77777777" w:rsidR="0017725B" w:rsidRDefault="00364B54" w:rsidP="00A167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F5F585" w14:textId="77777777" w:rsidR="0017725B" w:rsidRDefault="0017725B" w:rsidP="00A167B7">
            <w:pPr>
              <w:rPr>
                <w:b/>
                <w:u w:val="single"/>
              </w:rPr>
            </w:pPr>
          </w:p>
          <w:p w14:paraId="76637F04" w14:textId="77777777" w:rsidR="0017725B" w:rsidRDefault="00364B54" w:rsidP="00A167B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14:paraId="22FAA89B" w14:textId="6E66BCBD" w:rsidR="00A167B7" w:rsidRPr="0017725B" w:rsidRDefault="00A167B7" w:rsidP="00A167B7">
            <w:pPr>
              <w:jc w:val="both"/>
              <w:rPr>
                <w:b/>
                <w:u w:val="single"/>
              </w:rPr>
            </w:pPr>
          </w:p>
        </w:tc>
      </w:tr>
      <w:tr w:rsidR="000F4E4D" w14:paraId="179CB34D" w14:textId="77777777" w:rsidTr="00345119">
        <w:tc>
          <w:tcPr>
            <w:tcW w:w="9576" w:type="dxa"/>
          </w:tcPr>
          <w:p w14:paraId="29D16AF8" w14:textId="77777777" w:rsidR="008423E4" w:rsidRPr="00A8133F" w:rsidRDefault="00364B54" w:rsidP="00A167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2016F01" w14:textId="77777777" w:rsidR="008423E4" w:rsidRDefault="008423E4" w:rsidP="00A167B7"/>
          <w:p w14:paraId="5D949D25" w14:textId="77777777" w:rsidR="008423E4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10E95FC" w14:textId="0C5615F2" w:rsidR="00A167B7" w:rsidRPr="00E21FDC" w:rsidRDefault="00A167B7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F4E4D" w14:paraId="72BAA664" w14:textId="77777777" w:rsidTr="00345119">
        <w:tc>
          <w:tcPr>
            <w:tcW w:w="9576" w:type="dxa"/>
          </w:tcPr>
          <w:p w14:paraId="529CE7C9" w14:textId="0E370C29" w:rsidR="008423E4" w:rsidRPr="00603961" w:rsidRDefault="00364B54" w:rsidP="00A167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A0EDA1F" w14:textId="77777777" w:rsidR="00A167B7" w:rsidRDefault="00A167B7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42F0B4" w14:textId="14ACF3BA" w:rsidR="005D7505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3871 amends the Code of Criminal Procedure to</w:t>
            </w:r>
            <w:r w:rsidR="00C37CA4">
              <w:t xml:space="preserve"> </w:t>
            </w:r>
            <w:r>
              <w:t xml:space="preserve">revise provisions </w:t>
            </w:r>
            <w:r w:rsidR="00862BC8">
              <w:t>r</w:t>
            </w:r>
            <w:r w:rsidRPr="005D7505">
              <w:t>elating to the procedures for an application for a writ of habeas corpus and the issuance of the writ.</w:t>
            </w:r>
          </w:p>
          <w:p w14:paraId="5248EB58" w14:textId="77777777" w:rsidR="005D7505" w:rsidRDefault="005D7505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93C33B" w14:textId="3F60D263" w:rsidR="003D0877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3871 </w:t>
            </w:r>
            <w:r w:rsidR="00C37CA4">
              <w:t>require</w:t>
            </w:r>
            <w:r>
              <w:t>s</w:t>
            </w:r>
            <w:r w:rsidR="00603961">
              <w:t xml:space="preserve"> a writ of habeas corpus</w:t>
            </w:r>
            <w:r w:rsidR="00002952" w:rsidRPr="00002952">
              <w:t xml:space="preserve">, if </w:t>
            </w:r>
            <w:r w:rsidR="00002952">
              <w:t>the</w:t>
            </w:r>
            <w:r w:rsidR="00002952" w:rsidRPr="00002952">
              <w:t xml:space="preserve"> applicant for</w:t>
            </w:r>
            <w:r w:rsidR="00002952">
              <w:t xml:space="preserve"> the writ</w:t>
            </w:r>
            <w:r w:rsidR="00C37CA4" w:rsidRPr="00C37CA4">
              <w:t xml:space="preserve"> has not been formally charged by indictment or information</w:t>
            </w:r>
            <w:r w:rsidR="00C37CA4">
              <w:t xml:space="preserve">, to be </w:t>
            </w:r>
            <w:r w:rsidR="00C37CA4" w:rsidRPr="00C37CA4">
              <w:t xml:space="preserve">made returnable to </w:t>
            </w:r>
            <w:r w:rsidR="00C37CA4">
              <w:t>one of the following applicable counties:</w:t>
            </w:r>
          </w:p>
          <w:p w14:paraId="08A0DBB8" w14:textId="68F3FF7A" w:rsidR="00C37CA4" w:rsidRDefault="00364B54" w:rsidP="00A167B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C56BD5">
              <w:t xml:space="preserve">county in which the </w:t>
            </w:r>
            <w:r>
              <w:t>applicant is confined to the custody of the sheri</w:t>
            </w:r>
            <w:r>
              <w:t>ff or other authority;</w:t>
            </w:r>
          </w:p>
          <w:p w14:paraId="1E19D28D" w14:textId="12C0E353" w:rsidR="00C37CA4" w:rsidRDefault="00364B54" w:rsidP="00A167B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</w:t>
            </w:r>
            <w:r w:rsidR="00C56BD5" w:rsidRPr="00C56BD5">
              <w:t xml:space="preserve"> county in which the</w:t>
            </w:r>
            <w:r>
              <w:t xml:space="preserve"> applicant is alleged, by any means including the issuance of a warrant for the applicant's arrest or the applicant's arrest, to have committed a criminal offense that provides the basis for the restraint from </w:t>
            </w:r>
            <w:r>
              <w:t>which the application seeks relief; or</w:t>
            </w:r>
          </w:p>
          <w:p w14:paraId="0CD92CE1" w14:textId="3D0D0B5E" w:rsidR="00C37CA4" w:rsidRDefault="00364B54" w:rsidP="00A167B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 neither are applicable, the</w:t>
            </w:r>
            <w:r w:rsidR="00C56BD5" w:rsidRPr="00C56BD5">
              <w:t xml:space="preserve"> county in which the</w:t>
            </w:r>
            <w:r>
              <w:t xml:space="preserve"> action imposing a restraint on the applicant's liberty occurred.</w:t>
            </w:r>
          </w:p>
          <w:p w14:paraId="7BE10132" w14:textId="2DBEDF2E" w:rsidR="003D0877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such a writ, a</w:t>
            </w:r>
            <w:r w:rsidRPr="00C37CA4">
              <w:t>fter the applicant has been charged by indictment or information, and</w:t>
            </w:r>
            <w:r w:rsidRPr="00C37CA4">
              <w:t xml:space="preserve"> before any conviction of the applicant</w:t>
            </w:r>
            <w:r>
              <w:t xml:space="preserve">, to be </w:t>
            </w:r>
            <w:r w:rsidR="000F43A7" w:rsidRPr="000F43A7">
              <w:t>made returnable to the county in which the indictment or information is pending.</w:t>
            </w:r>
            <w:r w:rsidR="000F43A7">
              <w:t xml:space="preserve"> The bill requires such a writ, a</w:t>
            </w:r>
            <w:r w:rsidR="000F43A7" w:rsidRPr="000F43A7">
              <w:t>fter final conviction in any misdemeanor case,</w:t>
            </w:r>
            <w:r w:rsidR="000F43A7">
              <w:t xml:space="preserve"> to </w:t>
            </w:r>
            <w:r w:rsidR="000F43A7" w:rsidRPr="000F43A7">
              <w:t>be made returnable to the county in which the applicant was convicted</w:t>
            </w:r>
            <w:r w:rsidR="000F43A7">
              <w:t>.</w:t>
            </w:r>
          </w:p>
          <w:p w14:paraId="00606CB5" w14:textId="77777777" w:rsidR="00603961" w:rsidRDefault="00603961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9D9904" w14:textId="3352096D" w:rsidR="003D0877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3871 </w:t>
            </w:r>
            <w:r w:rsidR="00002952">
              <w:t>revises</w:t>
            </w:r>
            <w:r w:rsidR="00002952" w:rsidRPr="00002952">
              <w:t xml:space="preserve"> procedures for an application for </w:t>
            </w:r>
            <w:r w:rsidR="005D7505">
              <w:t xml:space="preserve">the </w:t>
            </w:r>
            <w:r w:rsidR="00002952" w:rsidRPr="00002952">
              <w:t xml:space="preserve">writ </w:t>
            </w:r>
            <w:r w:rsidR="00002952">
              <w:t>to authorize</w:t>
            </w:r>
            <w:r w:rsidR="00002952" w:rsidRPr="00002952">
              <w:t xml:space="preserve"> </w:t>
            </w:r>
            <w:r w:rsidR="000F43A7">
              <w:t xml:space="preserve">an applicant or petitioner, if </w:t>
            </w:r>
            <w:r w:rsidR="000F43A7" w:rsidRPr="000F43A7">
              <w:t>accused of committing a</w:t>
            </w:r>
            <w:r w:rsidR="000F43A7">
              <w:t xml:space="preserve"> </w:t>
            </w:r>
            <w:r w:rsidR="000F43A7" w:rsidRPr="000F43A7">
              <w:t>felony</w:t>
            </w:r>
            <w:r w:rsidR="002F611B">
              <w:t xml:space="preserve"> or misdemeanor</w:t>
            </w:r>
            <w:r w:rsidR="000F43A7" w:rsidRPr="000F43A7">
              <w:t xml:space="preserve"> offense </w:t>
            </w:r>
            <w:r w:rsidR="00002952">
              <w:t>who</w:t>
            </w:r>
            <w:r w:rsidR="00002952" w:rsidRPr="000F43A7">
              <w:t xml:space="preserve"> </w:t>
            </w:r>
            <w:r w:rsidR="000F43A7" w:rsidRPr="000F43A7">
              <w:t>has not been convicted of the offense,</w:t>
            </w:r>
            <w:r w:rsidR="000F43A7">
              <w:t xml:space="preserve"> to apply </w:t>
            </w:r>
            <w:r w:rsidR="000F43A7" w:rsidRPr="000F43A7">
              <w:t>to the judge of the court in which the indictment or information charging the applicant</w:t>
            </w:r>
            <w:r w:rsidR="000F43A7">
              <w:t xml:space="preserve"> </w:t>
            </w:r>
            <w:r w:rsidR="000F43A7" w:rsidRPr="000F43A7">
              <w:t>is pending</w:t>
            </w:r>
            <w:r w:rsidR="000F43A7">
              <w:t xml:space="preserve"> or, </w:t>
            </w:r>
            <w:r w:rsidR="000F43A7" w:rsidRPr="000F43A7">
              <w:t>if an indictment or information charging the applicant has not been filed or the</w:t>
            </w:r>
            <w:r w:rsidR="000F43A7">
              <w:t xml:space="preserve"> </w:t>
            </w:r>
            <w:r w:rsidR="000F43A7" w:rsidRPr="000F43A7">
              <w:t>judge of the court in which the indictment or information is pending is not available</w:t>
            </w:r>
            <w:r w:rsidR="000F43A7">
              <w:t>,</w:t>
            </w:r>
            <w:r w:rsidR="00002952">
              <w:t xml:space="preserve"> to</w:t>
            </w:r>
            <w:r w:rsidR="000F43A7">
              <w:t xml:space="preserve"> the following </w:t>
            </w:r>
            <w:r w:rsidR="004149DC">
              <w:t xml:space="preserve">applicable </w:t>
            </w:r>
            <w:r w:rsidR="000F43A7">
              <w:t>judges:</w:t>
            </w:r>
          </w:p>
          <w:p w14:paraId="1A1D6A1C" w14:textId="01F3AA13" w:rsidR="0052625A" w:rsidRDefault="00364B54" w:rsidP="00A167B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a felony, </w:t>
            </w:r>
            <w:r w:rsidR="000F43A7" w:rsidRPr="000F43A7">
              <w:t>any</w:t>
            </w:r>
            <w:r w:rsidR="000F43A7">
              <w:t xml:space="preserve"> </w:t>
            </w:r>
            <w:r w:rsidR="000F43A7" w:rsidRPr="000F43A7">
              <w:t>judge with felony jurisdiction in a</w:t>
            </w:r>
            <w:r w:rsidR="000F43A7">
              <w:t xml:space="preserve"> </w:t>
            </w:r>
            <w:r w:rsidR="000F43A7" w:rsidRPr="000F43A7">
              <w:t>county to</w:t>
            </w:r>
            <w:r w:rsidR="000F43A7">
              <w:t xml:space="preserve"> </w:t>
            </w:r>
            <w:r w:rsidR="000F43A7" w:rsidRPr="000F43A7">
              <w:t xml:space="preserve">which the writ is returnable; </w:t>
            </w:r>
            <w:r w:rsidRPr="000F43A7">
              <w:t>if there is no judge with felony jurisdiction available, any judge with felony jurisdiction who presides over a court in any co</w:t>
            </w:r>
            <w:r w:rsidRPr="000F43A7">
              <w:t xml:space="preserve">unty that adjoins </w:t>
            </w:r>
            <w:r>
              <w:t>the</w:t>
            </w:r>
            <w:r w:rsidRPr="000F43A7">
              <w:t xml:space="preserve"> county</w:t>
            </w:r>
            <w:r w:rsidR="004149DC">
              <w:t>;</w:t>
            </w:r>
            <w:r w:rsidR="00821522">
              <w:t xml:space="preserve"> and</w:t>
            </w:r>
          </w:p>
          <w:p w14:paraId="3B916C9E" w14:textId="048A9D46" w:rsidR="002F611B" w:rsidRDefault="00364B54" w:rsidP="00A167B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for a misdemeanor, any judge of a county court with criminal jurisdiction in a county to which the writ is returnable; if there is no judge of a county court with criminal jurisdiction available, any judge of a county cour</w:t>
            </w:r>
            <w:r>
              <w:t xml:space="preserve">t with criminal jurisdiction who presides over a court in any county that adjoins </w:t>
            </w:r>
            <w:r w:rsidR="004149DC">
              <w:t>the</w:t>
            </w:r>
            <w:r>
              <w:t xml:space="preserve"> county</w:t>
            </w:r>
            <w:r w:rsidR="004149DC">
              <w:t>.</w:t>
            </w:r>
          </w:p>
          <w:p w14:paraId="32702E97" w14:textId="14B83531" w:rsidR="002F611B" w:rsidRDefault="002F611B" w:rsidP="00A167B7"/>
          <w:p w14:paraId="79DD6693" w14:textId="4C317E28" w:rsidR="002F611B" w:rsidRDefault="00364B54" w:rsidP="00A167B7">
            <w:r>
              <w:t xml:space="preserve">H.B. 3871 </w:t>
            </w:r>
            <w:r w:rsidR="00376EEB">
              <w:t xml:space="preserve">establishes </w:t>
            </w:r>
            <w:r w:rsidR="00E157E8">
              <w:t xml:space="preserve">the following </w:t>
            </w:r>
            <w:r w:rsidR="00376EEB">
              <w:t xml:space="preserve">for </w:t>
            </w:r>
            <w:r w:rsidR="00E157E8">
              <w:t>the</w:t>
            </w:r>
            <w:r w:rsidR="00E157E8" w:rsidRPr="00376EEB">
              <w:t xml:space="preserve"> </w:t>
            </w:r>
            <w:r w:rsidR="00376EEB" w:rsidRPr="00376EEB">
              <w:t xml:space="preserve">application for </w:t>
            </w:r>
            <w:r w:rsidR="00E157E8">
              <w:t xml:space="preserve">the </w:t>
            </w:r>
            <w:r w:rsidR="00376EEB" w:rsidRPr="00376EEB">
              <w:t>writ</w:t>
            </w:r>
            <w:r w:rsidR="00376EEB">
              <w:t>:</w:t>
            </w:r>
          </w:p>
          <w:p w14:paraId="21583DE2" w14:textId="09B84262" w:rsidR="00376EEB" w:rsidRDefault="00364B54" w:rsidP="00A167B7">
            <w:pPr>
              <w:pStyle w:val="ListParagraph"/>
              <w:numPr>
                <w:ilvl w:val="0"/>
                <w:numId w:val="4"/>
              </w:numPr>
              <w:ind w:left="720"/>
              <w:contextualSpacing w:val="0"/>
            </w:pPr>
            <w:r>
              <w:t>a</w:t>
            </w:r>
            <w:r w:rsidRPr="00376EEB">
              <w:t xml:space="preserve"> petitioner is not a party to a </w:t>
            </w:r>
            <w:r>
              <w:t xml:space="preserve">related court </w:t>
            </w:r>
            <w:r w:rsidRPr="00376EEB">
              <w:t>proceeding</w:t>
            </w:r>
            <w:r>
              <w:t xml:space="preserve">; and </w:t>
            </w:r>
          </w:p>
          <w:p w14:paraId="150786BC" w14:textId="154FF54C" w:rsidR="002F611B" w:rsidRDefault="00364B54" w:rsidP="00A167B7">
            <w:pPr>
              <w:pStyle w:val="ListParagraph"/>
              <w:numPr>
                <w:ilvl w:val="0"/>
                <w:numId w:val="4"/>
              </w:numPr>
              <w:ind w:left="720"/>
              <w:contextualSpacing w:val="0"/>
            </w:pPr>
            <w:r>
              <w:t>a</w:t>
            </w:r>
            <w:r w:rsidRPr="00376EEB">
              <w:t xml:space="preserve"> petitioner who is not the applicant's attorney may not take any additional actions on behalf of the applicant that would constitute the practice of law.</w:t>
            </w:r>
          </w:p>
          <w:p w14:paraId="378222CD" w14:textId="77777777" w:rsidR="00603961" w:rsidRDefault="00603961" w:rsidP="00A167B7">
            <w:pPr>
              <w:pStyle w:val="ListParagraph"/>
              <w:ind w:left="776"/>
              <w:contextualSpacing w:val="0"/>
            </w:pPr>
          </w:p>
          <w:p w14:paraId="67230F05" w14:textId="21C19D2C" w:rsidR="00376EEB" w:rsidRDefault="00364B54" w:rsidP="00A167B7">
            <w:r>
              <w:t xml:space="preserve">H.B. 3871 </w:t>
            </w:r>
            <w:r w:rsidR="00FE2A70">
              <w:t xml:space="preserve">requires a </w:t>
            </w:r>
            <w:r w:rsidR="00FE2A70" w:rsidRPr="00FE2A70">
              <w:t xml:space="preserve">petitioner </w:t>
            </w:r>
            <w:r w:rsidR="00FE2A70">
              <w:t>to</w:t>
            </w:r>
            <w:r w:rsidR="00FE2A70" w:rsidRPr="00FE2A70">
              <w:t xml:space="preserve"> state in the application for </w:t>
            </w:r>
            <w:r w:rsidR="00E157E8">
              <w:t>the</w:t>
            </w:r>
            <w:r w:rsidR="00FE2A70" w:rsidRPr="00FE2A70">
              <w:t xml:space="preserve"> writ and under oath that the petitioner is presenting the application</w:t>
            </w:r>
            <w:r w:rsidR="00FE2A70">
              <w:t xml:space="preserve"> </w:t>
            </w:r>
            <w:r w:rsidR="00FE2A70" w:rsidRPr="00FE2A70">
              <w:t>with the applicant's knowing and voluntary consent.</w:t>
            </w:r>
          </w:p>
          <w:p w14:paraId="7035212A" w14:textId="1F918BA8" w:rsidR="00376EEB" w:rsidRDefault="00376EEB" w:rsidP="00A167B7"/>
          <w:p w14:paraId="4BF73D00" w14:textId="04B15DB4" w:rsidR="00376EEB" w:rsidRDefault="00364B54" w:rsidP="00A167B7">
            <w:r>
              <w:t xml:space="preserve">H.B. 3871 </w:t>
            </w:r>
            <w:r w:rsidR="00FE2A70">
              <w:t>appl</w:t>
            </w:r>
            <w:r>
              <w:t>ies</w:t>
            </w:r>
            <w:r w:rsidR="00FE2A70">
              <w:t xml:space="preserve"> </w:t>
            </w:r>
            <w:r w:rsidR="00FE2A70" w:rsidRPr="00FE2A70">
              <w:t xml:space="preserve">only to an application for a writ of habeas corpus filed on or after the </w:t>
            </w:r>
            <w:r w:rsidR="00FE2A70">
              <w:t xml:space="preserve">bill's </w:t>
            </w:r>
            <w:r w:rsidR="00FE2A70" w:rsidRPr="00FE2A70">
              <w:t>effective date</w:t>
            </w:r>
            <w:r w:rsidR="00FE2A70">
              <w:t>.</w:t>
            </w:r>
          </w:p>
          <w:p w14:paraId="00F561AC" w14:textId="77777777" w:rsidR="00FE2A70" w:rsidRDefault="00FE2A70" w:rsidP="00A167B7"/>
          <w:p w14:paraId="4BB30630" w14:textId="77777777" w:rsidR="008423E4" w:rsidRDefault="00364B54" w:rsidP="00A167B7">
            <w:r>
              <w:t xml:space="preserve">H.B. 3871 </w:t>
            </w:r>
            <w:r w:rsidR="00FE2A70">
              <w:t>repeals</w:t>
            </w:r>
            <w:r w:rsidR="00FE2A70" w:rsidRPr="00FE2A70">
              <w:t xml:space="preserve"> Section 2, Article 11.07, Code of Criminal Procedure</w:t>
            </w:r>
            <w:r w:rsidR="00FE2A70">
              <w:t>.</w:t>
            </w:r>
            <w:r>
              <w:t xml:space="preserve"> </w:t>
            </w:r>
          </w:p>
          <w:p w14:paraId="68CBEFC7" w14:textId="36D2AFE7" w:rsidR="00A167B7" w:rsidRPr="00835628" w:rsidRDefault="00A167B7" w:rsidP="00A167B7">
            <w:pPr>
              <w:rPr>
                <w:b/>
              </w:rPr>
            </w:pPr>
          </w:p>
        </w:tc>
      </w:tr>
      <w:tr w:rsidR="000F4E4D" w14:paraId="3AAC9CC1" w14:textId="77777777" w:rsidTr="00345119">
        <w:tc>
          <w:tcPr>
            <w:tcW w:w="9576" w:type="dxa"/>
          </w:tcPr>
          <w:p w14:paraId="7D8E4941" w14:textId="77777777" w:rsidR="008423E4" w:rsidRPr="00A8133F" w:rsidRDefault="00364B54" w:rsidP="00A167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9D376D" w14:textId="77777777" w:rsidR="008423E4" w:rsidRDefault="008423E4" w:rsidP="00A167B7"/>
          <w:p w14:paraId="66C55076" w14:textId="737C6EA9" w:rsidR="008423E4" w:rsidRPr="00233FDB" w:rsidRDefault="00364B54" w:rsidP="00A167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0B066272" w14:textId="77777777" w:rsidR="008423E4" w:rsidRPr="00BE0E75" w:rsidRDefault="008423E4" w:rsidP="00A167B7">
      <w:pPr>
        <w:jc w:val="both"/>
        <w:rPr>
          <w:rFonts w:ascii="Arial" w:hAnsi="Arial"/>
          <w:sz w:val="16"/>
          <w:szCs w:val="16"/>
        </w:rPr>
      </w:pPr>
    </w:p>
    <w:p w14:paraId="0EFB6A16" w14:textId="77777777" w:rsidR="004108C3" w:rsidRPr="008423E4" w:rsidRDefault="004108C3" w:rsidP="00A167B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F63B" w14:textId="77777777" w:rsidR="00000000" w:rsidRDefault="00364B54">
      <w:r>
        <w:separator/>
      </w:r>
    </w:p>
  </w:endnote>
  <w:endnote w:type="continuationSeparator" w:id="0">
    <w:p w14:paraId="3945B401" w14:textId="77777777" w:rsidR="00000000" w:rsidRDefault="003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9C2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4E4D" w14:paraId="6C23B704" w14:textId="77777777" w:rsidTr="009C1E9A">
      <w:trPr>
        <w:cantSplit/>
      </w:trPr>
      <w:tc>
        <w:tcPr>
          <w:tcW w:w="0" w:type="pct"/>
        </w:tcPr>
        <w:p w14:paraId="7A2BF6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A3AE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77D7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87E9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0E92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E4D" w14:paraId="2646B120" w14:textId="77777777" w:rsidTr="009C1E9A">
      <w:trPr>
        <w:cantSplit/>
      </w:trPr>
      <w:tc>
        <w:tcPr>
          <w:tcW w:w="0" w:type="pct"/>
        </w:tcPr>
        <w:p w14:paraId="3130F2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DEFD3C" w14:textId="0F555B3D" w:rsidR="00EC379B" w:rsidRPr="009C1E9A" w:rsidRDefault="00364B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25877-D</w:t>
          </w:r>
        </w:p>
      </w:tc>
      <w:tc>
        <w:tcPr>
          <w:tcW w:w="2453" w:type="pct"/>
        </w:tcPr>
        <w:p w14:paraId="2EA5B613" w14:textId="52842A2D" w:rsidR="00EC379B" w:rsidRDefault="00364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614FC">
            <w:t>23.116.2270</w:t>
          </w:r>
          <w:r>
            <w:fldChar w:fldCharType="end"/>
          </w:r>
        </w:p>
      </w:tc>
    </w:tr>
    <w:tr w:rsidR="000F4E4D" w14:paraId="16803EC0" w14:textId="77777777" w:rsidTr="009C1E9A">
      <w:trPr>
        <w:cantSplit/>
      </w:trPr>
      <w:tc>
        <w:tcPr>
          <w:tcW w:w="0" w:type="pct"/>
        </w:tcPr>
        <w:p w14:paraId="0105D1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3A2A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7189B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BE31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E4D" w14:paraId="2858E5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F412A2" w14:textId="77777777" w:rsidR="00EC379B" w:rsidRDefault="00364B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7BA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59AC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A2D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D9B" w14:textId="77777777" w:rsidR="00000000" w:rsidRDefault="00364B54">
      <w:r>
        <w:separator/>
      </w:r>
    </w:p>
  </w:footnote>
  <w:footnote w:type="continuationSeparator" w:id="0">
    <w:p w14:paraId="7026C8E6" w14:textId="77777777" w:rsidR="00000000" w:rsidRDefault="0036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E9D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E61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869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67"/>
    <w:multiLevelType w:val="hybridMultilevel"/>
    <w:tmpl w:val="6F5A3A56"/>
    <w:lvl w:ilvl="0" w:tplc="8256C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A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C4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C2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29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A0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1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C1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6F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3071"/>
    <w:multiLevelType w:val="hybridMultilevel"/>
    <w:tmpl w:val="36D60356"/>
    <w:lvl w:ilvl="0" w:tplc="170E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ED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80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4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84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8B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0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07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68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F0B"/>
    <w:multiLevelType w:val="hybridMultilevel"/>
    <w:tmpl w:val="207E07B4"/>
    <w:lvl w:ilvl="0" w:tplc="A2982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89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AC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01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20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C0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1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6A16"/>
    <w:multiLevelType w:val="hybridMultilevel"/>
    <w:tmpl w:val="474A7728"/>
    <w:lvl w:ilvl="0" w:tplc="F3EC4D2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08BB58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94E0FDCE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8AE02AD4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85081D4C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6908F3E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A8B6F3F6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C0F4CB8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9D32281C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146974913">
    <w:abstractNumId w:val="2"/>
  </w:num>
  <w:num w:numId="2" w16cid:durableId="929047184">
    <w:abstractNumId w:val="1"/>
  </w:num>
  <w:num w:numId="3" w16cid:durableId="993147091">
    <w:abstractNumId w:val="0"/>
  </w:num>
  <w:num w:numId="4" w16cid:durableId="1320385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C"/>
    <w:rsid w:val="00000A70"/>
    <w:rsid w:val="00002952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4E59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43A7"/>
    <w:rsid w:val="000F4E4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F03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AC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F3B"/>
    <w:rsid w:val="00274C45"/>
    <w:rsid w:val="00275109"/>
    <w:rsid w:val="00275BEE"/>
    <w:rsid w:val="00277434"/>
    <w:rsid w:val="00280123"/>
    <w:rsid w:val="00281343"/>
    <w:rsid w:val="00281883"/>
    <w:rsid w:val="0028361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611B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DA6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B54"/>
    <w:rsid w:val="00370155"/>
    <w:rsid w:val="003712D5"/>
    <w:rsid w:val="003747DF"/>
    <w:rsid w:val="00376EEB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87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9DC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25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505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96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152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BC8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1895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A6E"/>
    <w:rsid w:val="00930897"/>
    <w:rsid w:val="009320D2"/>
    <w:rsid w:val="009329FB"/>
    <w:rsid w:val="00932C77"/>
    <w:rsid w:val="0093417F"/>
    <w:rsid w:val="0093445C"/>
    <w:rsid w:val="00934AC2"/>
    <w:rsid w:val="009375BB"/>
    <w:rsid w:val="009418E9"/>
    <w:rsid w:val="00945B3B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CB3"/>
    <w:rsid w:val="00987F00"/>
    <w:rsid w:val="0099332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47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7B7"/>
    <w:rsid w:val="00A2018C"/>
    <w:rsid w:val="00A220FF"/>
    <w:rsid w:val="00A227E0"/>
    <w:rsid w:val="00A232E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793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82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FA9"/>
    <w:rsid w:val="00C377D1"/>
    <w:rsid w:val="00C37BDA"/>
    <w:rsid w:val="00C37C84"/>
    <w:rsid w:val="00C37CA4"/>
    <w:rsid w:val="00C42B41"/>
    <w:rsid w:val="00C46166"/>
    <w:rsid w:val="00C4710D"/>
    <w:rsid w:val="00C50CAD"/>
    <w:rsid w:val="00C56BD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C88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E6A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E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14FC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A7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82C21E-BE1A-429A-969C-CE5EDB1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4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3A7"/>
    <w:rPr>
      <w:b/>
      <w:bCs/>
    </w:rPr>
  </w:style>
  <w:style w:type="paragraph" w:styleId="ListParagraph">
    <w:name w:val="List Paragraph"/>
    <w:basedOn w:val="Normal"/>
    <w:uiPriority w:val="34"/>
    <w:qFormat/>
    <w:rsid w:val="00376EEB"/>
    <w:pPr>
      <w:ind w:left="720"/>
      <w:contextualSpacing/>
    </w:pPr>
  </w:style>
  <w:style w:type="paragraph" w:styleId="Revision">
    <w:name w:val="Revision"/>
    <w:hidden/>
    <w:uiPriority w:val="99"/>
    <w:semiHidden/>
    <w:rsid w:val="00C56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3824</Characters>
  <Application>Microsoft Office Word</Application>
  <DocSecurity>4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HB03871 (Committee Report (Unamended))</vt:lpstr>
    </vt:vector>
  </TitlesOfParts>
  <Company>State of Texas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25877</dc:subject>
  <dc:creator>State of Texas</dc:creator>
  <dc:description>HB 3871 by Cook-(H)Criminal Jurisprudence</dc:description>
  <cp:lastModifiedBy>Stacey Nicchio</cp:lastModifiedBy>
  <cp:revision>2</cp:revision>
  <cp:lastPrinted>2003-11-26T17:21:00Z</cp:lastPrinted>
  <dcterms:created xsi:type="dcterms:W3CDTF">2023-05-02T16:46:00Z</dcterms:created>
  <dcterms:modified xsi:type="dcterms:W3CDTF">2023-05-02T16:46:00Z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23.116.2270</vt:lpwstr>
  </property>
</Properties>
</file>