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06B2" w14:paraId="5A2726D8" w14:textId="77777777" w:rsidTr="00345119">
        <w:tc>
          <w:tcPr>
            <w:tcW w:w="9576" w:type="dxa"/>
            <w:noWrap/>
          </w:tcPr>
          <w:p w14:paraId="06FE058A" w14:textId="77777777" w:rsidR="008423E4" w:rsidRPr="0022177D" w:rsidRDefault="00C5541F" w:rsidP="00DC17EC">
            <w:pPr>
              <w:pStyle w:val="Heading1"/>
            </w:pPr>
            <w:r w:rsidRPr="00631897">
              <w:t>BILL ANALYSIS</w:t>
            </w:r>
          </w:p>
        </w:tc>
      </w:tr>
    </w:tbl>
    <w:p w14:paraId="2B0A10A6" w14:textId="77777777" w:rsidR="008423E4" w:rsidRPr="0022177D" w:rsidRDefault="008423E4" w:rsidP="00DC17EC">
      <w:pPr>
        <w:jc w:val="center"/>
      </w:pPr>
    </w:p>
    <w:p w14:paraId="3C2D8486" w14:textId="77777777" w:rsidR="008423E4" w:rsidRPr="00B31F0E" w:rsidRDefault="008423E4" w:rsidP="00DC17EC"/>
    <w:p w14:paraId="3941E8D0" w14:textId="77777777" w:rsidR="008423E4" w:rsidRPr="00742794" w:rsidRDefault="008423E4" w:rsidP="00DC17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06B2" w14:paraId="3821571E" w14:textId="77777777" w:rsidTr="00345119">
        <w:tc>
          <w:tcPr>
            <w:tcW w:w="9576" w:type="dxa"/>
          </w:tcPr>
          <w:p w14:paraId="308D4F20" w14:textId="56A39E02" w:rsidR="008423E4" w:rsidRPr="00861995" w:rsidRDefault="00C5541F" w:rsidP="00DC17EC">
            <w:pPr>
              <w:jc w:val="right"/>
            </w:pPr>
            <w:r>
              <w:t>C.S.H.B. 3908</w:t>
            </w:r>
          </w:p>
        </w:tc>
      </w:tr>
      <w:tr w:rsidR="006B06B2" w14:paraId="19286B47" w14:textId="77777777" w:rsidTr="00345119">
        <w:tc>
          <w:tcPr>
            <w:tcW w:w="9576" w:type="dxa"/>
          </w:tcPr>
          <w:p w14:paraId="7217E13A" w14:textId="21184264" w:rsidR="008423E4" w:rsidRPr="00861995" w:rsidRDefault="00C5541F" w:rsidP="00DC17EC">
            <w:pPr>
              <w:jc w:val="right"/>
            </w:pPr>
            <w:r>
              <w:t xml:space="preserve">By: </w:t>
            </w:r>
            <w:r w:rsidR="00A716E1">
              <w:t>Wilson</w:t>
            </w:r>
          </w:p>
        </w:tc>
      </w:tr>
      <w:tr w:rsidR="006B06B2" w14:paraId="59392414" w14:textId="77777777" w:rsidTr="00345119">
        <w:tc>
          <w:tcPr>
            <w:tcW w:w="9576" w:type="dxa"/>
          </w:tcPr>
          <w:p w14:paraId="3EA84A5A" w14:textId="6186C14B" w:rsidR="008423E4" w:rsidRPr="00861995" w:rsidRDefault="00C5541F" w:rsidP="00DC17EC">
            <w:pPr>
              <w:jc w:val="right"/>
            </w:pPr>
            <w:r>
              <w:t>Public Education</w:t>
            </w:r>
          </w:p>
        </w:tc>
      </w:tr>
      <w:tr w:rsidR="006B06B2" w14:paraId="649F294A" w14:textId="77777777" w:rsidTr="00345119">
        <w:tc>
          <w:tcPr>
            <w:tcW w:w="9576" w:type="dxa"/>
          </w:tcPr>
          <w:p w14:paraId="0029F4C0" w14:textId="4ECB5F7B" w:rsidR="008423E4" w:rsidRDefault="00C5541F" w:rsidP="00DC17EC">
            <w:pPr>
              <w:jc w:val="right"/>
            </w:pPr>
            <w:r>
              <w:t>Committee Report (Substituted)</w:t>
            </w:r>
          </w:p>
        </w:tc>
      </w:tr>
    </w:tbl>
    <w:p w14:paraId="48FFD6EC" w14:textId="77777777" w:rsidR="008423E4" w:rsidRDefault="008423E4" w:rsidP="00DC17EC">
      <w:pPr>
        <w:tabs>
          <w:tab w:val="right" w:pos="9360"/>
        </w:tabs>
      </w:pPr>
    </w:p>
    <w:p w14:paraId="19E4F833" w14:textId="77777777" w:rsidR="008423E4" w:rsidRDefault="008423E4" w:rsidP="00DC17EC"/>
    <w:p w14:paraId="0012758D" w14:textId="77777777" w:rsidR="008423E4" w:rsidRDefault="008423E4" w:rsidP="00DC17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06B2" w14:paraId="2DFB011C" w14:textId="77777777" w:rsidTr="00345119">
        <w:tc>
          <w:tcPr>
            <w:tcW w:w="9576" w:type="dxa"/>
          </w:tcPr>
          <w:p w14:paraId="5F345E77" w14:textId="77777777" w:rsidR="008423E4" w:rsidRPr="00A8133F" w:rsidRDefault="00C5541F" w:rsidP="00DC17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18D691" w14:textId="77777777" w:rsidR="008423E4" w:rsidRDefault="008423E4" w:rsidP="00DC17EC"/>
          <w:p w14:paraId="0EEC7044" w14:textId="6ADE0A11" w:rsidR="008423E4" w:rsidRDefault="00C5541F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56533">
              <w:t xml:space="preserve">Texas mothers contend that current law is structured in such a way that does not bring adequate attention to fentanyl </w:t>
            </w:r>
            <w:r w:rsidR="0047779B">
              <w:t xml:space="preserve">abuse </w:t>
            </w:r>
            <w:r w:rsidRPr="00656533">
              <w:t>prevention and drug poisoning awareness.</w:t>
            </w:r>
            <w:r w:rsidRPr="00DF5775">
              <w:t xml:space="preserve"> </w:t>
            </w:r>
            <w:r>
              <w:t>C.S.</w:t>
            </w:r>
            <w:r w:rsidRPr="00DF5775">
              <w:t>H</w:t>
            </w:r>
            <w:r>
              <w:t>.</w:t>
            </w:r>
            <w:r w:rsidRPr="00DF5775">
              <w:t>B</w:t>
            </w:r>
            <w:r>
              <w:t>.</w:t>
            </w:r>
            <w:r w:rsidR="00777E30">
              <w:t> </w:t>
            </w:r>
            <w:r w:rsidRPr="00DF5775">
              <w:t>3908</w:t>
            </w:r>
            <w:r>
              <w:t>, or Tucker</w:t>
            </w:r>
            <w:r w:rsidR="00777E30">
              <w:t>'</w:t>
            </w:r>
            <w:r>
              <w:t>s Law,</w:t>
            </w:r>
            <w:r w:rsidRPr="00DF5775">
              <w:t xml:space="preserve"> </w:t>
            </w:r>
            <w:r w:rsidR="00704D34">
              <w:t>requires</w:t>
            </w:r>
            <w:r w:rsidR="00443A90" w:rsidRPr="00DF5775">
              <w:t xml:space="preserve"> </w:t>
            </w:r>
            <w:r w:rsidRPr="00DF5775">
              <w:t>annual research-based instruction related to fenta</w:t>
            </w:r>
            <w:r w:rsidRPr="00DF5775">
              <w:t xml:space="preserve">nyl </w:t>
            </w:r>
            <w:r w:rsidR="0047779B">
              <w:t xml:space="preserve">abuse </w:t>
            </w:r>
            <w:r w:rsidRPr="00DF5775">
              <w:t xml:space="preserve">prevention and drug poisoning awareness </w:t>
            </w:r>
            <w:r w:rsidR="00704D34">
              <w:t xml:space="preserve">to be provided </w:t>
            </w:r>
            <w:r w:rsidRPr="00DF5775">
              <w:t>in public schools in grades 6</w:t>
            </w:r>
            <w:r w:rsidR="00443A90">
              <w:t xml:space="preserve"> through </w:t>
            </w:r>
            <w:r w:rsidRPr="00DF5775">
              <w:t xml:space="preserve">12 to bring awareness to the dangers of fentanyl </w:t>
            </w:r>
            <w:r w:rsidR="00443A90">
              <w:t xml:space="preserve">abuse and </w:t>
            </w:r>
            <w:r w:rsidRPr="00DF5775">
              <w:t xml:space="preserve">poisoning. </w:t>
            </w:r>
            <w:r>
              <w:t xml:space="preserve">The bill also </w:t>
            </w:r>
            <w:r w:rsidR="00443A90">
              <w:t>requires the designation of</w:t>
            </w:r>
            <w:r w:rsidR="00443A90" w:rsidRPr="00DF5775">
              <w:t xml:space="preserve"> </w:t>
            </w:r>
            <w:r w:rsidRPr="00DF5775">
              <w:t xml:space="preserve">an awareness week </w:t>
            </w:r>
            <w:r w:rsidR="00443A90">
              <w:t xml:space="preserve">in public schools. </w:t>
            </w:r>
          </w:p>
          <w:p w14:paraId="1F9B9049" w14:textId="77777777" w:rsidR="008423E4" w:rsidRPr="00E26B13" w:rsidRDefault="008423E4" w:rsidP="00DC17EC">
            <w:pPr>
              <w:rPr>
                <w:b/>
              </w:rPr>
            </w:pPr>
          </w:p>
        </w:tc>
      </w:tr>
      <w:tr w:rsidR="006B06B2" w14:paraId="4E18D8B5" w14:textId="77777777" w:rsidTr="00345119">
        <w:tc>
          <w:tcPr>
            <w:tcW w:w="9576" w:type="dxa"/>
          </w:tcPr>
          <w:p w14:paraId="116658AE" w14:textId="77777777" w:rsidR="0017725B" w:rsidRDefault="00C5541F" w:rsidP="00DC17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1E64C5F5" w14:textId="77777777" w:rsidR="0017725B" w:rsidRDefault="0017725B" w:rsidP="00DC17EC">
            <w:pPr>
              <w:rPr>
                <w:b/>
                <w:u w:val="single"/>
              </w:rPr>
            </w:pPr>
          </w:p>
          <w:p w14:paraId="6748B1F5" w14:textId="6ADFEF13" w:rsidR="00D10CDC" w:rsidRPr="00D10CDC" w:rsidRDefault="00C5541F" w:rsidP="00DC17E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11B45475" w14:textId="77777777" w:rsidR="0017725B" w:rsidRPr="0017725B" w:rsidRDefault="0017725B" w:rsidP="00DC17EC">
            <w:pPr>
              <w:rPr>
                <w:b/>
                <w:u w:val="single"/>
              </w:rPr>
            </w:pPr>
          </w:p>
        </w:tc>
      </w:tr>
      <w:tr w:rsidR="006B06B2" w14:paraId="62AE4393" w14:textId="77777777" w:rsidTr="00345119">
        <w:tc>
          <w:tcPr>
            <w:tcW w:w="9576" w:type="dxa"/>
          </w:tcPr>
          <w:p w14:paraId="2A3E672E" w14:textId="77777777" w:rsidR="008423E4" w:rsidRPr="00A8133F" w:rsidRDefault="00C5541F" w:rsidP="00DC17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0917DE" w14:textId="77777777" w:rsidR="008423E4" w:rsidRDefault="008423E4" w:rsidP="00DC17EC"/>
          <w:p w14:paraId="372F9A81" w14:textId="384711F1" w:rsidR="00D10CDC" w:rsidRDefault="00C5541F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7FCA762" w14:textId="77777777" w:rsidR="008423E4" w:rsidRPr="00E21FDC" w:rsidRDefault="008423E4" w:rsidP="00DC17EC">
            <w:pPr>
              <w:rPr>
                <w:b/>
              </w:rPr>
            </w:pPr>
          </w:p>
        </w:tc>
      </w:tr>
      <w:tr w:rsidR="006B06B2" w14:paraId="1DA448CC" w14:textId="77777777" w:rsidTr="00345119">
        <w:tc>
          <w:tcPr>
            <w:tcW w:w="9576" w:type="dxa"/>
          </w:tcPr>
          <w:p w14:paraId="52634A99" w14:textId="77777777" w:rsidR="008423E4" w:rsidRPr="00A8133F" w:rsidRDefault="00C5541F" w:rsidP="00DC17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31B483" w14:textId="162237C3" w:rsidR="008423E4" w:rsidRDefault="00C5541F" w:rsidP="00DC17EC">
            <w:r>
              <w:t xml:space="preserve">  </w:t>
            </w:r>
          </w:p>
          <w:p w14:paraId="07CCF37C" w14:textId="6FEDA0EC" w:rsidR="00183AB0" w:rsidRDefault="00C5541F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3908 amends the Education Code to require each public school district to annually provide research-based instruction related to fentanyl abuse prevention and drug poisoning awareness to students in grades 6 through 12. The bill sets out the </w:t>
            </w:r>
            <w:r>
              <w:t>following with respect to the required instruction:</w:t>
            </w:r>
          </w:p>
          <w:p w14:paraId="46E73C8C" w14:textId="571C59F5" w:rsidR="00183AB0" w:rsidRDefault="00C5541F" w:rsidP="00DC17E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the instruction to include the following information: </w:t>
            </w:r>
          </w:p>
          <w:p w14:paraId="40688BDF" w14:textId="0CD939CC" w:rsidR="00183AB0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suicide prevention;</w:t>
            </w:r>
          </w:p>
          <w:p w14:paraId="4FDC4774" w14:textId="048AF9B1" w:rsidR="00183AB0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prevention of the abuse of and addiction to fentanyl;</w:t>
            </w:r>
          </w:p>
          <w:p w14:paraId="3D717253" w14:textId="62999FB7" w:rsidR="00183AB0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awareness of local school and community resources and any processe</w:t>
            </w:r>
            <w:r>
              <w:t>s involved in accessing those resources; and</w:t>
            </w:r>
          </w:p>
          <w:p w14:paraId="406C74D8" w14:textId="25A570E6" w:rsidR="00183AB0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health education that includes information about substance use and abuse, including youth substance use and abuse; and</w:t>
            </w:r>
          </w:p>
          <w:p w14:paraId="75F41353" w14:textId="76C0280B" w:rsidR="00D10CDC" w:rsidRDefault="00C5541F" w:rsidP="00DC17E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authorizes the </w:t>
            </w:r>
            <w:r w:rsidRPr="00D10CDC">
              <w:t>instruction</w:t>
            </w:r>
            <w:r>
              <w:t xml:space="preserve"> to be provided by </w:t>
            </w:r>
            <w:r w:rsidR="006C601E">
              <w:t>the foll</w:t>
            </w:r>
            <w:r w:rsidR="00443A90">
              <w:t>ow</w:t>
            </w:r>
            <w:r w:rsidR="006C601E">
              <w:t>ing</w:t>
            </w:r>
            <w:r>
              <w:t xml:space="preserve"> entit</w:t>
            </w:r>
            <w:r w:rsidR="006C601E">
              <w:t>ies</w:t>
            </w:r>
            <w:r>
              <w:t xml:space="preserve"> or an employee or agent </w:t>
            </w:r>
            <w:r>
              <w:t xml:space="preserve">of </w:t>
            </w:r>
            <w:r w:rsidR="006C601E">
              <w:t xml:space="preserve">such </w:t>
            </w:r>
            <w:r>
              <w:t xml:space="preserve">an entity: </w:t>
            </w:r>
          </w:p>
          <w:p w14:paraId="55DAC913" w14:textId="77777777" w:rsidR="00D10CDC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public or private institution of higher education;</w:t>
            </w:r>
          </w:p>
          <w:p w14:paraId="77C2244D" w14:textId="77777777" w:rsidR="00D10CDC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library;</w:t>
            </w:r>
          </w:p>
          <w:p w14:paraId="336CA9CE" w14:textId="77777777" w:rsidR="00D10CDC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community service organization;</w:t>
            </w:r>
          </w:p>
          <w:p w14:paraId="34DDF236" w14:textId="77777777" w:rsidR="00D10CDC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religious organization;</w:t>
            </w:r>
          </w:p>
          <w:p w14:paraId="407C1090" w14:textId="77777777" w:rsidR="00D10CDC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local public health agency; or</w:t>
            </w:r>
          </w:p>
          <w:p w14:paraId="4840A64A" w14:textId="692EB8FF" w:rsidR="00183AB0" w:rsidRDefault="00C5541F" w:rsidP="00DC17E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organization employing mental health professionals.</w:t>
            </w:r>
          </w:p>
          <w:p w14:paraId="0BEA05B0" w14:textId="0F06E542" w:rsidR="00092767" w:rsidRDefault="00C5541F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a</w:t>
            </w:r>
            <w:r w:rsidRPr="00D10CDC">
              <w:t xml:space="preserve"> di</w:t>
            </w:r>
            <w:r w:rsidRPr="00D10CDC">
              <w:t xml:space="preserve">strict </w:t>
            </w:r>
            <w:r>
              <w:t>to</w:t>
            </w:r>
            <w:r w:rsidRPr="00D10CDC">
              <w:t xml:space="preserve"> satisfy a requirement to implement a program in the area of substance abuse prevention and intervention by providing instruction related to youth substance use and abuse education</w:t>
            </w:r>
            <w:r w:rsidR="00580001">
              <w:t xml:space="preserve"> relating to </w:t>
            </w:r>
            <w:r w:rsidR="00580001" w:rsidRPr="00580001">
              <w:t xml:space="preserve">fentanyl </w:t>
            </w:r>
            <w:r w:rsidR="00A918EE">
              <w:t xml:space="preserve">abuse </w:t>
            </w:r>
            <w:r w:rsidR="00580001" w:rsidRPr="00580001">
              <w:t xml:space="preserve">prevention and drug poisoning awareness </w:t>
            </w:r>
            <w:r w:rsidR="00580001">
              <w:t xml:space="preserve">instruction. </w:t>
            </w:r>
          </w:p>
          <w:p w14:paraId="30544BD5" w14:textId="77777777" w:rsidR="00092767" w:rsidRDefault="00092767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1757DE" w14:textId="44CD128D" w:rsidR="00580001" w:rsidRDefault="00C5541F" w:rsidP="00DC17EC">
            <w:pPr>
              <w:pStyle w:val="Header"/>
              <w:jc w:val="both"/>
            </w:pPr>
            <w:r>
              <w:t xml:space="preserve">C.S.H.B. 3908 </w:t>
            </w:r>
            <w:r w:rsidRPr="00092767">
              <w:t>require</w:t>
            </w:r>
            <w:r>
              <w:t>s</w:t>
            </w:r>
            <w:r w:rsidRPr="00092767">
              <w:t xml:space="preserve"> the governor, for purposes of educating students about the dangers posed by fentanyl and the risks of fentanyl poisoning, including overdose</w:t>
            </w:r>
            <w:r>
              <w:t>, to designate a week to be known as F</w:t>
            </w:r>
            <w:r>
              <w:t>entanyl Poisoning Awareness Week in public schools. The bill authorizes Fentanyl Poisoning Awareness Week to include age-appropriate instruction, including instruction on the prevention of the abuse of and addiction to fentanyl, as determined by each distr</w:t>
            </w:r>
            <w:r>
              <w:t xml:space="preserve">ict. The bill's provisions apply </w:t>
            </w:r>
            <w:r w:rsidRPr="00580001">
              <w:t>beginning with the 2023-2024 school year.</w:t>
            </w:r>
          </w:p>
          <w:p w14:paraId="6130867D" w14:textId="77777777" w:rsidR="008423E4" w:rsidRPr="00835628" w:rsidRDefault="008423E4" w:rsidP="00DC17EC">
            <w:pPr>
              <w:rPr>
                <w:b/>
              </w:rPr>
            </w:pPr>
          </w:p>
        </w:tc>
      </w:tr>
      <w:tr w:rsidR="006B06B2" w14:paraId="52E08E55" w14:textId="77777777" w:rsidTr="00345119">
        <w:tc>
          <w:tcPr>
            <w:tcW w:w="9576" w:type="dxa"/>
          </w:tcPr>
          <w:p w14:paraId="4289765A" w14:textId="77777777" w:rsidR="008423E4" w:rsidRPr="00A8133F" w:rsidRDefault="00C5541F" w:rsidP="00DC17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8E3609" w14:textId="77777777" w:rsidR="008423E4" w:rsidRDefault="008423E4" w:rsidP="00DC17EC"/>
          <w:p w14:paraId="20BBBADB" w14:textId="2BF746F0" w:rsidR="008423E4" w:rsidRPr="003624F2" w:rsidRDefault="00C5541F" w:rsidP="00DC1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CFC3741" w14:textId="77777777" w:rsidR="008423E4" w:rsidRPr="00233FDB" w:rsidRDefault="008423E4" w:rsidP="00DC17EC">
            <w:pPr>
              <w:rPr>
                <w:b/>
              </w:rPr>
            </w:pPr>
          </w:p>
        </w:tc>
      </w:tr>
      <w:tr w:rsidR="006B06B2" w14:paraId="0DFF51E0" w14:textId="77777777" w:rsidTr="00345119">
        <w:tc>
          <w:tcPr>
            <w:tcW w:w="9576" w:type="dxa"/>
          </w:tcPr>
          <w:p w14:paraId="72436385" w14:textId="77777777" w:rsidR="00A716E1" w:rsidRDefault="00C5541F" w:rsidP="00DC17E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9CDFCC" w14:textId="77777777" w:rsidR="00092767" w:rsidRDefault="00092767" w:rsidP="00DC17EC">
            <w:pPr>
              <w:jc w:val="both"/>
            </w:pPr>
          </w:p>
          <w:p w14:paraId="10A47D97" w14:textId="7EEA5D7D" w:rsidR="00092767" w:rsidRDefault="00C5541F" w:rsidP="00DC17EC">
            <w:pPr>
              <w:jc w:val="both"/>
            </w:pPr>
            <w:r>
              <w:t xml:space="preserve">While C.S.H.B. 3908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001182AB" w14:textId="480CCCEC" w:rsidR="00092767" w:rsidRDefault="00092767" w:rsidP="00DC17EC">
            <w:pPr>
              <w:jc w:val="both"/>
            </w:pPr>
          </w:p>
          <w:p w14:paraId="5871A950" w14:textId="26EBB150" w:rsidR="00261DB3" w:rsidRDefault="00C5541F" w:rsidP="00DC17EC">
            <w:pPr>
              <w:jc w:val="both"/>
            </w:pPr>
            <w:r>
              <w:t>The substitute includes provisions that were not in the introduced requi</w:t>
            </w:r>
            <w:r>
              <w:t>ring the governor to designate a week to be known as Fentanyl Poisoning Awareness Week</w:t>
            </w:r>
            <w:r w:rsidR="00F214FD">
              <w:t xml:space="preserve"> in public schools</w:t>
            </w:r>
            <w:r>
              <w:t xml:space="preserve">, which may include age-appropriate instruction as determined by each district. </w:t>
            </w:r>
          </w:p>
          <w:p w14:paraId="77342B65" w14:textId="77777777" w:rsidR="00261DB3" w:rsidRDefault="00261DB3" w:rsidP="00DC17EC">
            <w:pPr>
              <w:jc w:val="both"/>
            </w:pPr>
          </w:p>
          <w:p w14:paraId="514A2E83" w14:textId="7EF842FD" w:rsidR="00936F45" w:rsidRDefault="00C5541F" w:rsidP="00DC17EC">
            <w:pPr>
              <w:jc w:val="both"/>
            </w:pPr>
            <w:r w:rsidRPr="00936F45">
              <w:t xml:space="preserve">The substitute </w:t>
            </w:r>
            <w:r w:rsidR="001C425D">
              <w:t xml:space="preserve">omits </w:t>
            </w:r>
            <w:r w:rsidR="00E1440E">
              <w:t xml:space="preserve">the </w:t>
            </w:r>
            <w:r w:rsidR="001C425D">
              <w:t>requirement</w:t>
            </w:r>
            <w:r w:rsidR="00E1440E">
              <w:t>s</w:t>
            </w:r>
            <w:r w:rsidR="001C425D">
              <w:t xml:space="preserve"> </w:t>
            </w:r>
            <w:r w:rsidRPr="00936F45">
              <w:t xml:space="preserve">in the introduced </w:t>
            </w:r>
            <w:r w:rsidR="001C425D">
              <w:t>that the</w:t>
            </w:r>
            <w:r w:rsidR="001C425D" w:rsidRPr="00936F45">
              <w:t xml:space="preserve"> </w:t>
            </w:r>
            <w:r w:rsidRPr="00936F45">
              <w:t>fenta</w:t>
            </w:r>
            <w:r w:rsidRPr="00936F45">
              <w:t>nyl abuse prevention and drug poisoning awareness education</w:t>
            </w:r>
            <w:r w:rsidR="00E1440E">
              <w:t xml:space="preserve"> provided to students</w:t>
            </w:r>
            <w:r>
              <w:t xml:space="preserve"> </w:t>
            </w:r>
            <w:r w:rsidR="00FD12F7">
              <w:t>be not fewer than 10 hours and</w:t>
            </w:r>
            <w:r w:rsidR="00261DB3">
              <w:t xml:space="preserve"> </w:t>
            </w:r>
            <w:r w:rsidR="00E1440E">
              <w:t>that it</w:t>
            </w:r>
            <w:r w:rsidR="00261DB3">
              <w:t xml:space="preserve"> include recognition of</w:t>
            </w:r>
            <w:r w:rsidR="00FD12F7">
              <w:t xml:space="preserve"> signs and symptoms of mental health issues.</w:t>
            </w:r>
          </w:p>
          <w:p w14:paraId="2E1E56F2" w14:textId="25464568" w:rsidR="00092767" w:rsidRDefault="00092767" w:rsidP="00DC17EC">
            <w:pPr>
              <w:jc w:val="both"/>
            </w:pPr>
          </w:p>
          <w:p w14:paraId="28DC8A51" w14:textId="0478CB02" w:rsidR="00092767" w:rsidRDefault="00092767" w:rsidP="00DC17EC">
            <w:pPr>
              <w:jc w:val="both"/>
            </w:pPr>
          </w:p>
          <w:p w14:paraId="2910C0C8" w14:textId="36A8B70F" w:rsidR="00092767" w:rsidRDefault="00092767" w:rsidP="00DC17EC">
            <w:pPr>
              <w:jc w:val="both"/>
            </w:pPr>
          </w:p>
          <w:p w14:paraId="0183875E" w14:textId="77777777" w:rsidR="00092767" w:rsidRDefault="00092767" w:rsidP="00DC17EC">
            <w:pPr>
              <w:jc w:val="both"/>
            </w:pPr>
          </w:p>
          <w:p w14:paraId="67A05C3C" w14:textId="1172D683" w:rsidR="00092767" w:rsidRPr="00092767" w:rsidRDefault="00092767" w:rsidP="00DC17EC">
            <w:pPr>
              <w:jc w:val="both"/>
            </w:pPr>
          </w:p>
        </w:tc>
      </w:tr>
      <w:tr w:rsidR="006B06B2" w14:paraId="5EFD6C4F" w14:textId="77777777" w:rsidTr="00345119">
        <w:tc>
          <w:tcPr>
            <w:tcW w:w="9576" w:type="dxa"/>
          </w:tcPr>
          <w:p w14:paraId="460F9615" w14:textId="77777777" w:rsidR="00A716E1" w:rsidRPr="009C1E9A" w:rsidRDefault="00A716E1" w:rsidP="00DC17EC">
            <w:pPr>
              <w:rPr>
                <w:b/>
                <w:u w:val="single"/>
              </w:rPr>
            </w:pPr>
          </w:p>
        </w:tc>
      </w:tr>
      <w:tr w:rsidR="006B06B2" w14:paraId="51CAB082" w14:textId="77777777" w:rsidTr="00345119">
        <w:tc>
          <w:tcPr>
            <w:tcW w:w="9576" w:type="dxa"/>
          </w:tcPr>
          <w:p w14:paraId="6008EF21" w14:textId="77777777" w:rsidR="00A716E1" w:rsidRPr="00A716E1" w:rsidRDefault="00A716E1" w:rsidP="00DC17EC">
            <w:pPr>
              <w:jc w:val="both"/>
            </w:pPr>
          </w:p>
        </w:tc>
      </w:tr>
    </w:tbl>
    <w:p w14:paraId="0BC124EE" w14:textId="77777777" w:rsidR="008423E4" w:rsidRPr="00BE0E75" w:rsidRDefault="008423E4" w:rsidP="00DC17EC">
      <w:pPr>
        <w:jc w:val="both"/>
        <w:rPr>
          <w:rFonts w:ascii="Arial" w:hAnsi="Arial"/>
          <w:sz w:val="16"/>
          <w:szCs w:val="16"/>
        </w:rPr>
      </w:pPr>
    </w:p>
    <w:p w14:paraId="0BB26DF8" w14:textId="77777777" w:rsidR="004108C3" w:rsidRPr="008423E4" w:rsidRDefault="004108C3" w:rsidP="00DC17E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A57E" w14:textId="77777777" w:rsidR="00000000" w:rsidRDefault="00C5541F">
      <w:r>
        <w:separator/>
      </w:r>
    </w:p>
  </w:endnote>
  <w:endnote w:type="continuationSeparator" w:id="0">
    <w:p w14:paraId="7DCB5221" w14:textId="77777777" w:rsidR="00000000" w:rsidRDefault="00C5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9D8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06B2" w14:paraId="7999F340" w14:textId="77777777" w:rsidTr="009C1E9A">
      <w:trPr>
        <w:cantSplit/>
      </w:trPr>
      <w:tc>
        <w:tcPr>
          <w:tcW w:w="0" w:type="pct"/>
        </w:tcPr>
        <w:p w14:paraId="493648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9012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20F0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A497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4D5A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06B2" w14:paraId="35258BF3" w14:textId="77777777" w:rsidTr="009C1E9A">
      <w:trPr>
        <w:cantSplit/>
      </w:trPr>
      <w:tc>
        <w:tcPr>
          <w:tcW w:w="0" w:type="pct"/>
        </w:tcPr>
        <w:p w14:paraId="2215E3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CD10D6" w14:textId="4A56C010" w:rsidR="00EC379B" w:rsidRPr="009C1E9A" w:rsidRDefault="00C554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25545-D</w:t>
          </w:r>
        </w:p>
      </w:tc>
      <w:tc>
        <w:tcPr>
          <w:tcW w:w="2453" w:type="pct"/>
        </w:tcPr>
        <w:p w14:paraId="220BAE2C" w14:textId="181814FF" w:rsidR="00EC379B" w:rsidRDefault="00C554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17EC">
            <w:t>23.113.895</w:t>
          </w:r>
          <w:r>
            <w:fldChar w:fldCharType="end"/>
          </w:r>
        </w:p>
      </w:tc>
    </w:tr>
    <w:tr w:rsidR="006B06B2" w14:paraId="169157EA" w14:textId="77777777" w:rsidTr="009C1E9A">
      <w:trPr>
        <w:cantSplit/>
      </w:trPr>
      <w:tc>
        <w:tcPr>
          <w:tcW w:w="0" w:type="pct"/>
        </w:tcPr>
        <w:p w14:paraId="7C76CB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673936" w14:textId="09B25475" w:rsidR="00EC379B" w:rsidRPr="009C1E9A" w:rsidRDefault="00C5541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25003</w:t>
          </w:r>
        </w:p>
      </w:tc>
      <w:tc>
        <w:tcPr>
          <w:tcW w:w="2453" w:type="pct"/>
        </w:tcPr>
        <w:p w14:paraId="370ACF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C221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06B2" w14:paraId="6DB785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E65C7C" w14:textId="77777777" w:rsidR="00EC379B" w:rsidRDefault="00C554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76EE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8D70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0E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5396" w14:textId="77777777" w:rsidR="00000000" w:rsidRDefault="00C5541F">
      <w:r>
        <w:separator/>
      </w:r>
    </w:p>
  </w:footnote>
  <w:footnote w:type="continuationSeparator" w:id="0">
    <w:p w14:paraId="674CA252" w14:textId="77777777" w:rsidR="00000000" w:rsidRDefault="00C5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EEC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5E8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A2A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0A0"/>
    <w:multiLevelType w:val="hybridMultilevel"/>
    <w:tmpl w:val="C462687C"/>
    <w:lvl w:ilvl="0" w:tplc="C428B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E5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02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67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C5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2F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8A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CE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819A5"/>
    <w:multiLevelType w:val="hybridMultilevel"/>
    <w:tmpl w:val="026AE912"/>
    <w:lvl w:ilvl="0" w:tplc="C17AE8F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EDF80456" w:tentative="1">
      <w:start w:val="1"/>
      <w:numFmt w:val="lowerLetter"/>
      <w:lvlText w:val="%2."/>
      <w:lvlJc w:val="left"/>
      <w:pPr>
        <w:ind w:left="1440" w:hanging="360"/>
      </w:pPr>
    </w:lvl>
    <w:lvl w:ilvl="2" w:tplc="A0148C38" w:tentative="1">
      <w:start w:val="1"/>
      <w:numFmt w:val="lowerRoman"/>
      <w:lvlText w:val="%3."/>
      <w:lvlJc w:val="right"/>
      <w:pPr>
        <w:ind w:left="2160" w:hanging="180"/>
      </w:pPr>
    </w:lvl>
    <w:lvl w:ilvl="3" w:tplc="E5129660" w:tentative="1">
      <w:start w:val="1"/>
      <w:numFmt w:val="decimal"/>
      <w:lvlText w:val="%4."/>
      <w:lvlJc w:val="left"/>
      <w:pPr>
        <w:ind w:left="2880" w:hanging="360"/>
      </w:pPr>
    </w:lvl>
    <w:lvl w:ilvl="4" w:tplc="6A746680" w:tentative="1">
      <w:start w:val="1"/>
      <w:numFmt w:val="lowerLetter"/>
      <w:lvlText w:val="%5."/>
      <w:lvlJc w:val="left"/>
      <w:pPr>
        <w:ind w:left="3600" w:hanging="360"/>
      </w:pPr>
    </w:lvl>
    <w:lvl w:ilvl="5" w:tplc="A380D11C" w:tentative="1">
      <w:start w:val="1"/>
      <w:numFmt w:val="lowerRoman"/>
      <w:lvlText w:val="%6."/>
      <w:lvlJc w:val="right"/>
      <w:pPr>
        <w:ind w:left="4320" w:hanging="180"/>
      </w:pPr>
    </w:lvl>
    <w:lvl w:ilvl="6" w:tplc="ADD452FC" w:tentative="1">
      <w:start w:val="1"/>
      <w:numFmt w:val="decimal"/>
      <w:lvlText w:val="%7."/>
      <w:lvlJc w:val="left"/>
      <w:pPr>
        <w:ind w:left="5040" w:hanging="360"/>
      </w:pPr>
    </w:lvl>
    <w:lvl w:ilvl="7" w:tplc="18303E14" w:tentative="1">
      <w:start w:val="1"/>
      <w:numFmt w:val="lowerLetter"/>
      <w:lvlText w:val="%8."/>
      <w:lvlJc w:val="left"/>
      <w:pPr>
        <w:ind w:left="5760" w:hanging="360"/>
      </w:pPr>
    </w:lvl>
    <w:lvl w:ilvl="8" w:tplc="15EEAA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7687">
    <w:abstractNumId w:val="0"/>
  </w:num>
  <w:num w:numId="2" w16cid:durableId="41493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767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478"/>
    <w:rsid w:val="0017725B"/>
    <w:rsid w:val="0018050C"/>
    <w:rsid w:val="00180833"/>
    <w:rsid w:val="0018117F"/>
    <w:rsid w:val="001824ED"/>
    <w:rsid w:val="00183262"/>
    <w:rsid w:val="00183AB0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25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DB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045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A9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79B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DF6"/>
    <w:rsid w:val="00576714"/>
    <w:rsid w:val="0057685A"/>
    <w:rsid w:val="00580001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DE2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53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6B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01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D34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E30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F45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D22"/>
    <w:rsid w:val="00A572B1"/>
    <w:rsid w:val="00A577AF"/>
    <w:rsid w:val="00A60177"/>
    <w:rsid w:val="00A61C27"/>
    <w:rsid w:val="00A62638"/>
    <w:rsid w:val="00A6344D"/>
    <w:rsid w:val="00A644B8"/>
    <w:rsid w:val="00A70E35"/>
    <w:rsid w:val="00A716E1"/>
    <w:rsid w:val="00A720DC"/>
    <w:rsid w:val="00A803CF"/>
    <w:rsid w:val="00A8133F"/>
    <w:rsid w:val="00A82CB4"/>
    <w:rsid w:val="00A837A8"/>
    <w:rsid w:val="00A83C36"/>
    <w:rsid w:val="00A918E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41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CDC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7E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775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40E"/>
    <w:rsid w:val="00E15F90"/>
    <w:rsid w:val="00E16D3E"/>
    <w:rsid w:val="00E17167"/>
    <w:rsid w:val="00E20520"/>
    <w:rsid w:val="00E21D55"/>
    <w:rsid w:val="00E21FDC"/>
    <w:rsid w:val="00E225F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584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4F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2F7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BA813-85A3-4D99-8FE2-87AAA93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0C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0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0C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0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0CDC"/>
    <w:rPr>
      <w:b/>
      <w:bCs/>
    </w:rPr>
  </w:style>
  <w:style w:type="paragraph" w:styleId="Revision">
    <w:name w:val="Revision"/>
    <w:hidden/>
    <w:uiPriority w:val="99"/>
    <w:semiHidden/>
    <w:rsid w:val="00092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3236</Characters>
  <Application>Microsoft Office Word</Application>
  <DocSecurity>4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HB03908 (Committee Report (Substituted))</vt:lpstr>
    </vt:vector>
  </TitlesOfParts>
  <Company>State of Texas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25545</dc:subject>
  <dc:creator>State of Texas</dc:creator>
  <dc:description>HB 3908 by Wilson-(H)Public Education (Substitute Document Number: 88R 25003)</dc:description>
  <cp:lastModifiedBy>Stacey Nicchio</cp:lastModifiedBy>
  <cp:revision>2</cp:revision>
  <cp:lastPrinted>2003-11-26T17:21:00Z</cp:lastPrinted>
  <dcterms:created xsi:type="dcterms:W3CDTF">2023-05-03T00:13:00Z</dcterms:created>
  <dcterms:modified xsi:type="dcterms:W3CDTF">2023-05-03T00:13:00Z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23.113.895</vt:lpwstr>
  </property>
</Properties>
</file>