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C3A35" w14:paraId="1D873385" w14:textId="77777777" w:rsidTr="00345119">
        <w:tc>
          <w:tcPr>
            <w:tcW w:w="9576" w:type="dxa"/>
            <w:noWrap/>
          </w:tcPr>
          <w:p w14:paraId="67A41A06" w14:textId="77777777" w:rsidR="008423E4" w:rsidRPr="0022177D" w:rsidRDefault="002362A3" w:rsidP="00AF5A09">
            <w:pPr>
              <w:pStyle w:val="Heading1"/>
            </w:pPr>
            <w:r w:rsidRPr="00631897">
              <w:t>BILL ANALYSIS</w:t>
            </w:r>
          </w:p>
        </w:tc>
      </w:tr>
    </w:tbl>
    <w:p w14:paraId="66D038E6" w14:textId="77777777" w:rsidR="008423E4" w:rsidRPr="0022177D" w:rsidRDefault="008423E4" w:rsidP="00AF5A09">
      <w:pPr>
        <w:jc w:val="center"/>
      </w:pPr>
    </w:p>
    <w:p w14:paraId="5D23C99D" w14:textId="77777777" w:rsidR="008423E4" w:rsidRPr="00B31F0E" w:rsidRDefault="008423E4" w:rsidP="00AF5A09"/>
    <w:p w14:paraId="40FA61C1" w14:textId="77777777" w:rsidR="008423E4" w:rsidRPr="00742794" w:rsidRDefault="008423E4" w:rsidP="00AF5A0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C3A35" w14:paraId="68A429C3" w14:textId="77777777" w:rsidTr="00345119">
        <w:tc>
          <w:tcPr>
            <w:tcW w:w="9576" w:type="dxa"/>
          </w:tcPr>
          <w:p w14:paraId="6084FB28" w14:textId="7A91E042" w:rsidR="008423E4" w:rsidRPr="00861995" w:rsidRDefault="002362A3" w:rsidP="00AF5A09">
            <w:pPr>
              <w:jc w:val="right"/>
            </w:pPr>
            <w:r>
              <w:t>C.S.H.B. 3924</w:t>
            </w:r>
          </w:p>
        </w:tc>
      </w:tr>
      <w:tr w:rsidR="00BC3A35" w14:paraId="2B305548" w14:textId="77777777" w:rsidTr="00345119">
        <w:tc>
          <w:tcPr>
            <w:tcW w:w="9576" w:type="dxa"/>
          </w:tcPr>
          <w:p w14:paraId="7CE2FDD2" w14:textId="5D96C34B" w:rsidR="008423E4" w:rsidRPr="00861995" w:rsidRDefault="002362A3" w:rsidP="00AF5A09">
            <w:pPr>
              <w:jc w:val="right"/>
            </w:pPr>
            <w:r>
              <w:t xml:space="preserve">By: </w:t>
            </w:r>
            <w:r w:rsidR="00F51CF5">
              <w:t>Oliverson</w:t>
            </w:r>
          </w:p>
        </w:tc>
      </w:tr>
      <w:tr w:rsidR="00BC3A35" w14:paraId="72F7B29F" w14:textId="77777777" w:rsidTr="00345119">
        <w:tc>
          <w:tcPr>
            <w:tcW w:w="9576" w:type="dxa"/>
          </w:tcPr>
          <w:p w14:paraId="78446586" w14:textId="0583A901" w:rsidR="008423E4" w:rsidRPr="00861995" w:rsidRDefault="002362A3" w:rsidP="00AF5A09">
            <w:pPr>
              <w:jc w:val="right"/>
            </w:pPr>
            <w:r>
              <w:t>State Affairs</w:t>
            </w:r>
          </w:p>
        </w:tc>
      </w:tr>
      <w:tr w:rsidR="00BC3A35" w14:paraId="606A373C" w14:textId="77777777" w:rsidTr="00345119">
        <w:tc>
          <w:tcPr>
            <w:tcW w:w="9576" w:type="dxa"/>
          </w:tcPr>
          <w:p w14:paraId="238C8229" w14:textId="0E1024A3" w:rsidR="008423E4" w:rsidRDefault="002362A3" w:rsidP="00AF5A09">
            <w:pPr>
              <w:jc w:val="right"/>
            </w:pPr>
            <w:r>
              <w:t>Committee Report (Substituted)</w:t>
            </w:r>
          </w:p>
        </w:tc>
      </w:tr>
    </w:tbl>
    <w:p w14:paraId="65D5D88E" w14:textId="77777777" w:rsidR="008423E4" w:rsidRPr="005118FA" w:rsidRDefault="008423E4" w:rsidP="00AF5A09">
      <w:pPr>
        <w:tabs>
          <w:tab w:val="right" w:pos="9360"/>
        </w:tabs>
        <w:rPr>
          <w:sz w:val="20"/>
          <w:szCs w:val="20"/>
        </w:rPr>
      </w:pPr>
    </w:p>
    <w:p w14:paraId="57E19EAB" w14:textId="77777777" w:rsidR="008423E4" w:rsidRPr="005118FA" w:rsidRDefault="008423E4" w:rsidP="00AF5A09">
      <w:pPr>
        <w:rPr>
          <w:sz w:val="20"/>
          <w:szCs w:val="20"/>
        </w:rPr>
      </w:pPr>
    </w:p>
    <w:p w14:paraId="0590F338" w14:textId="77777777" w:rsidR="008423E4" w:rsidRPr="005118FA" w:rsidRDefault="008423E4" w:rsidP="00AF5A09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C3A35" w14:paraId="46D11EB4" w14:textId="77777777" w:rsidTr="005118FA">
        <w:tc>
          <w:tcPr>
            <w:tcW w:w="9360" w:type="dxa"/>
          </w:tcPr>
          <w:p w14:paraId="24CF70CE" w14:textId="77777777" w:rsidR="008423E4" w:rsidRPr="00A8133F" w:rsidRDefault="002362A3" w:rsidP="00AF5A0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2750EC" w14:textId="77777777" w:rsidR="008423E4" w:rsidRDefault="008423E4" w:rsidP="00AF5A09"/>
          <w:p w14:paraId="10584F85" w14:textId="5ABDFD3B" w:rsidR="008423E4" w:rsidRDefault="002362A3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0C26A9">
              <w:t xml:space="preserve">urnover among state employees </w:t>
            </w:r>
            <w:r w:rsidR="008A4984">
              <w:t>has risen dramatically in recent years</w:t>
            </w:r>
            <w:r w:rsidRPr="000C26A9">
              <w:t xml:space="preserve">, with </w:t>
            </w:r>
            <w:r w:rsidR="008A4984">
              <w:t xml:space="preserve">a turnover rate for fiscal year 2022 that was the highest in at least 10 years according to the </w:t>
            </w:r>
            <w:r w:rsidR="008F5252">
              <w:t>State Auditor's Office</w:t>
            </w:r>
            <w:r w:rsidR="008A4984">
              <w:t>.</w:t>
            </w:r>
            <w:r w:rsidRPr="000C26A9">
              <w:t xml:space="preserve"> Without a qualified workforce, state agencies face difficulties in providing Texans with effective, efficient, and timely services</w:t>
            </w:r>
            <w:r>
              <w:t xml:space="preserve">. </w:t>
            </w:r>
            <w:r w:rsidR="00011B97">
              <w:t xml:space="preserve">As reported by the Center for American Progress, federal census </w:t>
            </w:r>
            <w:r w:rsidRPr="000C26A9">
              <w:t xml:space="preserve">data shows that state and local governments lag almost every </w:t>
            </w:r>
            <w:r>
              <w:t>private sector</w:t>
            </w:r>
            <w:r w:rsidRPr="000C26A9">
              <w:t xml:space="preserve"> industry</w:t>
            </w:r>
            <w:r>
              <w:t xml:space="preserve"> </w:t>
            </w:r>
            <w:r w:rsidRPr="000C26A9">
              <w:t>in filling jobs</w:t>
            </w:r>
            <w:r>
              <w:t>—</w:t>
            </w:r>
            <w:r w:rsidRPr="000C26A9">
              <w:t xml:space="preserve">only hiring 0.31 people for every available job. With a tight labor market </w:t>
            </w:r>
            <w:r>
              <w:t xml:space="preserve">in Texas </w:t>
            </w:r>
            <w:r w:rsidRPr="000C26A9">
              <w:t>as shown by</w:t>
            </w:r>
            <w:r w:rsidRPr="000C26A9">
              <w:t xml:space="preserve"> low unemployment rates and record-breaking job growth, state agencies need solutions in order to be competitive in attracting and retaining qualified talent. </w:t>
            </w:r>
            <w:r>
              <w:t>C.S.</w:t>
            </w:r>
            <w:r w:rsidRPr="000C26A9">
              <w:t>H</w:t>
            </w:r>
            <w:r>
              <w:t>.</w:t>
            </w:r>
            <w:r w:rsidRPr="000C26A9">
              <w:t>B</w:t>
            </w:r>
            <w:r>
              <w:t>.</w:t>
            </w:r>
            <w:r w:rsidRPr="000C26A9">
              <w:t xml:space="preserve"> 3924 </w:t>
            </w:r>
            <w:r>
              <w:t xml:space="preserve">seeks to </w:t>
            </w:r>
            <w:r w:rsidRPr="000C26A9">
              <w:t>adopt</w:t>
            </w:r>
            <w:r>
              <w:t xml:space="preserve"> certain</w:t>
            </w:r>
            <w:r w:rsidRPr="000C26A9">
              <w:t xml:space="preserve"> hiring practices used by employers in the private sector to </w:t>
            </w:r>
            <w:r w:rsidRPr="000C26A9">
              <w:t xml:space="preserve">expand the pool of qualified talent for their jobs. Specifically, </w:t>
            </w:r>
            <w:r>
              <w:t>the bill seeks to</w:t>
            </w:r>
            <w:r w:rsidRPr="000C26A9">
              <w:t xml:space="preserve"> create an optional, standardized aptitude assessment to serve as an alternative to </w:t>
            </w:r>
            <w:r w:rsidR="00C52129">
              <w:t>education or experience</w:t>
            </w:r>
            <w:r w:rsidR="00C52129" w:rsidRPr="000C26A9">
              <w:t xml:space="preserve"> </w:t>
            </w:r>
            <w:r w:rsidRPr="000C26A9">
              <w:t xml:space="preserve">requirements for </w:t>
            </w:r>
            <w:r>
              <w:t xml:space="preserve">certain state </w:t>
            </w:r>
            <w:r w:rsidRPr="000C26A9">
              <w:t>jobs, allowing a Texan to demonstr</w:t>
            </w:r>
            <w:r w:rsidRPr="000C26A9">
              <w:t xml:space="preserve">ate their mastery of skills relevant to certain state jobs. With </w:t>
            </w:r>
            <w:r w:rsidR="008246CF">
              <w:t xml:space="preserve">over </w:t>
            </w:r>
            <w:r w:rsidR="00C52129">
              <w:t>two and a half</w:t>
            </w:r>
            <w:r w:rsidRPr="000C26A9">
              <w:t xml:space="preserve"> million Texans </w:t>
            </w:r>
            <w:r w:rsidR="008A4984">
              <w:t>having</w:t>
            </w:r>
            <w:r w:rsidR="008A4984" w:rsidRPr="000C26A9">
              <w:t xml:space="preserve"> </w:t>
            </w:r>
            <w:r w:rsidRPr="000C26A9">
              <w:t>some college experience but no credential</w:t>
            </w:r>
            <w:r w:rsidR="001E42EF">
              <w:t>s</w:t>
            </w:r>
            <w:r w:rsidR="008A4984">
              <w:t xml:space="preserve"> according to the </w:t>
            </w:r>
            <w:r w:rsidR="00C52129">
              <w:t>National Student Clearinghouse Research Center</w:t>
            </w:r>
            <w:r w:rsidRPr="000C26A9">
              <w:t xml:space="preserve">, </w:t>
            </w:r>
            <w:r>
              <w:t>the bill</w:t>
            </w:r>
            <w:r w:rsidRPr="000C26A9">
              <w:t xml:space="preserve"> would make state employment more accessible for Texans who have the skills, but not necessarily the </w:t>
            </w:r>
            <w:r w:rsidR="00C52129">
              <w:t>education</w:t>
            </w:r>
            <w:r w:rsidR="00EF445E">
              <w:t xml:space="preserve"> or experience</w:t>
            </w:r>
            <w:r w:rsidRPr="000C26A9">
              <w:t>, to perform and excel in a state job.</w:t>
            </w:r>
          </w:p>
          <w:p w14:paraId="26EF565E" w14:textId="77777777" w:rsidR="008423E4" w:rsidRPr="00E26B13" w:rsidRDefault="008423E4" w:rsidP="00AF5A09">
            <w:pPr>
              <w:rPr>
                <w:b/>
              </w:rPr>
            </w:pPr>
          </w:p>
        </w:tc>
      </w:tr>
      <w:tr w:rsidR="00BC3A35" w14:paraId="58420350" w14:textId="77777777" w:rsidTr="005118FA">
        <w:tc>
          <w:tcPr>
            <w:tcW w:w="9360" w:type="dxa"/>
          </w:tcPr>
          <w:p w14:paraId="5F93AEF6" w14:textId="77777777" w:rsidR="0017725B" w:rsidRDefault="002362A3" w:rsidP="00AF5A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AC0FD3" w14:textId="77777777" w:rsidR="0017725B" w:rsidRDefault="0017725B" w:rsidP="00AF5A09">
            <w:pPr>
              <w:rPr>
                <w:b/>
                <w:u w:val="single"/>
              </w:rPr>
            </w:pPr>
          </w:p>
          <w:p w14:paraId="138F8055" w14:textId="033B0231" w:rsidR="001016B9" w:rsidRPr="001016B9" w:rsidRDefault="002362A3" w:rsidP="00AF5A09">
            <w:pPr>
              <w:jc w:val="both"/>
            </w:pPr>
            <w:r>
              <w:t>It is the committee's opinion that this bill does not expressly cr</w:t>
            </w:r>
            <w:r>
              <w:t>eate a criminal offense, increase the punishment for an existing criminal offense or category of offenses, or change the eligibility of a person for community supervision, parole, or mandatory supervision.</w:t>
            </w:r>
          </w:p>
          <w:p w14:paraId="489005F9" w14:textId="77777777" w:rsidR="0017725B" w:rsidRPr="0017725B" w:rsidRDefault="0017725B" w:rsidP="00AF5A09">
            <w:pPr>
              <w:rPr>
                <w:b/>
                <w:u w:val="single"/>
              </w:rPr>
            </w:pPr>
          </w:p>
        </w:tc>
      </w:tr>
      <w:tr w:rsidR="00BC3A35" w14:paraId="6363615A" w14:textId="77777777" w:rsidTr="005118FA">
        <w:tc>
          <w:tcPr>
            <w:tcW w:w="9360" w:type="dxa"/>
          </w:tcPr>
          <w:p w14:paraId="7785F671" w14:textId="77777777" w:rsidR="008423E4" w:rsidRPr="00A8133F" w:rsidRDefault="002362A3" w:rsidP="00AF5A0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94C39D8" w14:textId="77777777" w:rsidR="008423E4" w:rsidRDefault="008423E4" w:rsidP="00AF5A09"/>
          <w:p w14:paraId="08628980" w14:textId="41610F9D" w:rsidR="001016B9" w:rsidRDefault="002362A3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</w:t>
            </w:r>
            <w:r>
              <w:t xml:space="preserve">nion that rulemaking authority is expressly granted to the </w:t>
            </w:r>
            <w:r w:rsidR="008F5252">
              <w:t>State Auditor's Office</w:t>
            </w:r>
            <w:r w:rsidR="00E568E7">
              <w:t xml:space="preserve"> </w:t>
            </w:r>
            <w:r>
              <w:t>in SECTION 2 of this bill.</w:t>
            </w:r>
          </w:p>
          <w:p w14:paraId="2F08103B" w14:textId="77777777" w:rsidR="008423E4" w:rsidRPr="00E21FDC" w:rsidRDefault="008423E4" w:rsidP="00AF5A09">
            <w:pPr>
              <w:rPr>
                <w:b/>
              </w:rPr>
            </w:pPr>
          </w:p>
        </w:tc>
      </w:tr>
      <w:tr w:rsidR="00BC3A35" w14:paraId="0B191E8F" w14:textId="77777777" w:rsidTr="005118FA">
        <w:tc>
          <w:tcPr>
            <w:tcW w:w="9360" w:type="dxa"/>
          </w:tcPr>
          <w:p w14:paraId="769AA331" w14:textId="77777777" w:rsidR="008423E4" w:rsidRPr="00A8133F" w:rsidRDefault="002362A3" w:rsidP="00AF5A0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573856A" w14:textId="77777777" w:rsidR="008423E4" w:rsidRDefault="008423E4" w:rsidP="00AF5A09"/>
          <w:p w14:paraId="5345BBB5" w14:textId="7B322CDC" w:rsidR="00CF056A" w:rsidRDefault="002362A3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3737B">
              <w:t>H.B. 3924</w:t>
            </w:r>
            <w:r w:rsidR="00D82FA1">
              <w:t xml:space="preserve"> amends the Government Code to require each </w:t>
            </w:r>
            <w:r w:rsidR="00047413">
              <w:t>applicable executive</w:t>
            </w:r>
            <w:r w:rsidR="00D85103">
              <w:t xml:space="preserve"> or judicial</w:t>
            </w:r>
            <w:r w:rsidR="00047413">
              <w:t xml:space="preserve"> branch </w:t>
            </w:r>
            <w:r w:rsidR="00D82FA1">
              <w:t xml:space="preserve">state agency to </w:t>
            </w:r>
            <w:r w:rsidR="00047413">
              <w:t xml:space="preserve">review </w:t>
            </w:r>
            <w:r w:rsidR="00D82FA1">
              <w:t>at least once each calendar year each classified position in the agency to determine the skills needed for each position</w:t>
            </w:r>
            <w:r w:rsidR="00047413">
              <w:t>.</w:t>
            </w:r>
            <w:r w:rsidR="00D82FA1">
              <w:t xml:space="preserve"> </w:t>
            </w:r>
            <w:r w:rsidR="00047413">
              <w:t>The bill requires the agency</w:t>
            </w:r>
            <w:r w:rsidR="00D82FA1">
              <w:t xml:space="preserve"> to compile a list of </w:t>
            </w:r>
            <w:r w:rsidR="005C14A2">
              <w:t xml:space="preserve">those </w:t>
            </w:r>
            <w:r w:rsidR="00D82FA1">
              <w:t>skills</w:t>
            </w:r>
            <w:r w:rsidR="00682C26">
              <w:t xml:space="preserve"> for each position</w:t>
            </w:r>
            <w:r w:rsidR="00D82FA1">
              <w:t xml:space="preserve"> and submit the list to the </w:t>
            </w:r>
            <w:r w:rsidR="008F5252">
              <w:t>State Auditor's Office (SAO)</w:t>
            </w:r>
            <w:r w:rsidR="00D82FA1">
              <w:t xml:space="preserve">. The bill requires </w:t>
            </w:r>
            <w:r w:rsidR="00C915BC">
              <w:t xml:space="preserve">the </w:t>
            </w:r>
            <w:r w:rsidR="008F5252">
              <w:t>SAO</w:t>
            </w:r>
            <w:r w:rsidR="00C915BC">
              <w:t xml:space="preserve"> </w:t>
            </w:r>
            <w:r w:rsidR="00D82FA1">
              <w:t xml:space="preserve">to </w:t>
            </w:r>
            <w:r w:rsidR="00E333E2">
              <w:t xml:space="preserve">review each list of skills </w:t>
            </w:r>
            <w:r w:rsidR="00C915BC">
              <w:t xml:space="preserve">for each position </w:t>
            </w:r>
            <w:r w:rsidR="00E333E2">
              <w:t xml:space="preserve">submitted and then </w:t>
            </w:r>
            <w:r>
              <w:t>take the following action</w:t>
            </w:r>
            <w:r w:rsidR="008F5252">
              <w:t>s:</w:t>
            </w:r>
          </w:p>
          <w:p w14:paraId="0926ACA4" w14:textId="114CAEC7" w:rsidR="00CF056A" w:rsidRDefault="002362A3" w:rsidP="00AF5A0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determine the skills shared across state agency classified positions;</w:t>
            </w:r>
            <w:r w:rsidR="00D85103">
              <w:t xml:space="preserve"> and</w:t>
            </w:r>
          </w:p>
          <w:p w14:paraId="0FCD538D" w14:textId="6D60A061" w:rsidR="00CF056A" w:rsidRDefault="002362A3" w:rsidP="00AF5A0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develop, in consultation with </w:t>
            </w:r>
            <w:r w:rsidR="00DC090C">
              <w:t xml:space="preserve">the </w:t>
            </w:r>
            <w:r>
              <w:t xml:space="preserve">agencies, a standardized </w:t>
            </w:r>
            <w:r>
              <w:t>aptitude test</w:t>
            </w:r>
            <w:r w:rsidR="00C52129">
              <w:t>, defined by the bill as the uniform assessment that measures the skill set of a job applicant,</w:t>
            </w:r>
            <w:r>
              <w:t xml:space="preserve"> to determine whether a job applicant has the shared skills</w:t>
            </w:r>
            <w:r w:rsidR="00D85103">
              <w:t>.</w:t>
            </w:r>
          </w:p>
          <w:p w14:paraId="462CDFC8" w14:textId="77777777" w:rsidR="0076550C" w:rsidRDefault="0076550C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DCC99CC" w14:textId="36ED53CA" w:rsidR="00E333E2" w:rsidRDefault="002362A3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3924</w:t>
            </w:r>
            <w:r w:rsidR="00D85103">
              <w:t xml:space="preserve"> requires </w:t>
            </w:r>
            <w:r>
              <w:t>the Texas Workforce Commission (</w:t>
            </w:r>
            <w:r w:rsidR="00D85103">
              <w:t>TWC</w:t>
            </w:r>
            <w:r>
              <w:t>)</w:t>
            </w:r>
            <w:r w:rsidR="00D85103">
              <w:t xml:space="preserve"> to </w:t>
            </w:r>
            <w:r w:rsidR="00CF056A" w:rsidRPr="00CF056A">
              <w:t>make the standardized aptitude test available on the online state agency employment applications system</w:t>
            </w:r>
            <w:r>
              <w:t xml:space="preserve"> and</w:t>
            </w:r>
            <w:r w:rsidR="00CF056A">
              <w:t xml:space="preserve"> authorizes </w:t>
            </w:r>
            <w:r w:rsidR="00C915BC">
              <w:t xml:space="preserve">the </w:t>
            </w:r>
            <w:r w:rsidR="008F5252">
              <w:t>SAO</w:t>
            </w:r>
            <w:r w:rsidR="00C915BC">
              <w:t xml:space="preserve"> </w:t>
            </w:r>
            <w:r w:rsidR="00CF056A">
              <w:t xml:space="preserve">to </w:t>
            </w:r>
            <w:r w:rsidR="00CF056A" w:rsidRPr="00CF056A">
              <w:t>contract with a person that specializes in certification of occupation-based skills assessments to develop, certify, or evaluate the results of the standardized aptitude test.</w:t>
            </w:r>
            <w:r w:rsidR="008931FE">
              <w:t xml:space="preserve"> </w:t>
            </w:r>
            <w:r>
              <w:t>The bill requires each agency, not later than December 1, 2024, to complete the initial review and submit the list of applicable skills</w:t>
            </w:r>
            <w:r w:rsidR="00573D84">
              <w:t xml:space="preserve"> for each position</w:t>
            </w:r>
            <w:r>
              <w:t xml:space="preserve"> to </w:t>
            </w:r>
            <w:r w:rsidR="00C915BC">
              <w:t xml:space="preserve">the </w:t>
            </w:r>
            <w:r w:rsidR="00E36872">
              <w:t>SAO</w:t>
            </w:r>
            <w:r>
              <w:t>.</w:t>
            </w:r>
          </w:p>
          <w:p w14:paraId="579280FC" w14:textId="77777777" w:rsidR="00E333E2" w:rsidRDefault="00E333E2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EAA483" w14:textId="3C9CBD26" w:rsidR="00C52129" w:rsidRDefault="002362A3" w:rsidP="00AF5A09">
            <w:pPr>
              <w:pStyle w:val="Header"/>
              <w:jc w:val="both"/>
            </w:pPr>
            <w:r>
              <w:t>C.S.</w:t>
            </w:r>
            <w:r w:rsidR="00E333E2">
              <w:t>H.B. 3924</w:t>
            </w:r>
            <w:r w:rsidR="008931FE">
              <w:t xml:space="preserve"> requires a</w:t>
            </w:r>
            <w:r w:rsidR="00DC090C">
              <w:t>n</w:t>
            </w:r>
            <w:r w:rsidR="008931FE">
              <w:t xml:space="preserve"> agency that </w:t>
            </w:r>
            <w:r w:rsidR="008931FE" w:rsidRPr="008931FE">
              <w:t>determines a specialized aptitude test would improve the agency's hiring process</w:t>
            </w:r>
            <w:r w:rsidR="008931FE">
              <w:t xml:space="preserve"> to</w:t>
            </w:r>
            <w:r w:rsidR="00D82FA1">
              <w:t xml:space="preserve"> consult with the Tri-Agency Workforce Initiative to align the career education and training programs and state workforce development strategies with the competencies and skills measured by the test.</w:t>
            </w:r>
            <w:r w:rsidR="001016B9">
              <w:t xml:space="preserve"> </w:t>
            </w:r>
            <w:r>
              <w:t xml:space="preserve">The bill defines a "career education and training program" </w:t>
            </w:r>
            <w:r w:rsidR="00EF445E">
              <w:t xml:space="preserve">by reference </w:t>
            </w:r>
            <w:r>
              <w:t>as the following:</w:t>
            </w:r>
          </w:p>
          <w:p w14:paraId="5FB4E45B" w14:textId="77777777" w:rsidR="00C52129" w:rsidRDefault="002362A3" w:rsidP="00AF5A09">
            <w:pPr>
              <w:pStyle w:val="Header"/>
              <w:numPr>
                <w:ilvl w:val="0"/>
                <w:numId w:val="5"/>
              </w:numPr>
              <w:jc w:val="both"/>
            </w:pPr>
            <w:r>
              <w:t>career and technology education program offered by a public school;</w:t>
            </w:r>
          </w:p>
          <w:p w14:paraId="39A952B2" w14:textId="77777777" w:rsidR="00C52129" w:rsidRDefault="002362A3" w:rsidP="00AF5A09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 career technical or workforce education program, as defined by the Texas Higher </w:t>
            </w:r>
            <w:r>
              <w:t>Education Coordinating Board, offered by an institution of higher education;</w:t>
            </w:r>
          </w:p>
          <w:p w14:paraId="2FD65620" w14:textId="3FE285CD" w:rsidR="00C52129" w:rsidRDefault="002362A3" w:rsidP="00AF5A09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program administered by TWC relating to jobs training, skills development, or adult education and literacy; and</w:t>
            </w:r>
          </w:p>
          <w:p w14:paraId="2AB107D2" w14:textId="630421C2" w:rsidR="00C52129" w:rsidRDefault="002362A3" w:rsidP="00AF5A09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work-based learning program, such as an apprenticeship or inter</w:t>
            </w:r>
            <w:r>
              <w:t>nship program, that receives state funding or is administered by TWC.</w:t>
            </w:r>
          </w:p>
          <w:p w14:paraId="6F9555F1" w14:textId="168FEE2E" w:rsidR="00043CDF" w:rsidRDefault="002362A3" w:rsidP="00AF5A09">
            <w:pPr>
              <w:pStyle w:val="Header"/>
              <w:jc w:val="both"/>
            </w:pPr>
            <w:r>
              <w:t xml:space="preserve">The bill defines </w:t>
            </w:r>
            <w:r>
              <w:tab/>
              <w:t>"specialized aptitude test" as an assessment of the competencies and skills needed for a specific state agency position that are not measured by the standardized aptitu</w:t>
            </w:r>
            <w:r>
              <w:t>de test, including a skills demonstration, skills-based questionnaire, skills-based interview, and any other valid skills measurement strategy.</w:t>
            </w:r>
          </w:p>
          <w:p w14:paraId="18232186" w14:textId="77777777" w:rsidR="00043CDF" w:rsidRDefault="00043CDF" w:rsidP="00AF5A09">
            <w:pPr>
              <w:pStyle w:val="Header"/>
              <w:jc w:val="both"/>
            </w:pPr>
          </w:p>
          <w:p w14:paraId="7A67BF4B" w14:textId="4202DDF0" w:rsidR="00D82FA1" w:rsidRDefault="002362A3" w:rsidP="00AF5A09">
            <w:pPr>
              <w:pStyle w:val="Header"/>
              <w:jc w:val="both"/>
            </w:pPr>
            <w:r>
              <w:t>C.S.</w:t>
            </w:r>
            <w:r w:rsidR="00043CDF">
              <w:t>H.B. 3924</w:t>
            </w:r>
            <w:r w:rsidR="001016B9">
              <w:t xml:space="preserve"> prohibits a</w:t>
            </w:r>
            <w:r w:rsidR="00DC090C">
              <w:t>n</w:t>
            </w:r>
            <w:r>
              <w:t xml:space="preserve"> agency </w:t>
            </w:r>
            <w:r w:rsidR="001016B9">
              <w:t xml:space="preserve">from </w:t>
            </w:r>
            <w:r>
              <w:t>consider</w:t>
            </w:r>
            <w:r w:rsidR="001016B9">
              <w:t>ing</w:t>
            </w:r>
            <w:r>
              <w:t xml:space="preserve"> the fact that an applicant for employment did not complete t</w:t>
            </w:r>
            <w:r>
              <w:t>he standardized aptitude test in making a hiring determination.</w:t>
            </w:r>
            <w:r w:rsidR="001016B9">
              <w:t xml:space="preserve"> The bill authorizes </w:t>
            </w:r>
            <w:r w:rsidR="00C915BC">
              <w:t xml:space="preserve">the </w:t>
            </w:r>
            <w:r w:rsidR="008F5252">
              <w:t>SAO</w:t>
            </w:r>
            <w:r w:rsidR="00C915BC">
              <w:t xml:space="preserve"> </w:t>
            </w:r>
            <w:r w:rsidR="001016B9">
              <w:t xml:space="preserve">to </w:t>
            </w:r>
            <w:r>
              <w:t xml:space="preserve">adopt rules necessary to implement </w:t>
            </w:r>
            <w:r w:rsidR="001016B9">
              <w:t>the bill provisions</w:t>
            </w:r>
            <w:r w:rsidR="00E333E2">
              <w:t xml:space="preserve"> regarding aptitude </w:t>
            </w:r>
            <w:r w:rsidR="00DC090C">
              <w:t>test</w:t>
            </w:r>
            <w:r w:rsidR="00043CDF">
              <w:t>s</w:t>
            </w:r>
            <w:r w:rsidR="00C915BC">
              <w:t xml:space="preserve">, </w:t>
            </w:r>
            <w:r w:rsidR="00C915BC" w:rsidRPr="00C915BC">
              <w:t>including rules that require a state agency to accept the standardized aptitude test as an alternative to a hiring requirement that relates to an applicant's education or experience, as determined appropriate by the</w:t>
            </w:r>
            <w:r w:rsidR="00B23ED7">
              <w:t xml:space="preserve"> SAO</w:t>
            </w:r>
            <w:r w:rsidR="00C915BC" w:rsidRPr="00C915BC">
              <w:t>.</w:t>
            </w:r>
          </w:p>
          <w:p w14:paraId="7915F6EE" w14:textId="67AEFCE4" w:rsidR="001016B9" w:rsidRDefault="001016B9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F28996F" w14:textId="1FC1A1C7" w:rsidR="00B05FE0" w:rsidRDefault="002362A3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3924 revises</w:t>
            </w:r>
            <w:r w:rsidR="005C14A2">
              <w:t xml:space="preserve"> statutory</w:t>
            </w:r>
            <w:r>
              <w:t xml:space="preserve"> provisions relating to the online state agency ap</w:t>
            </w:r>
            <w:r w:rsidR="005C14A2">
              <w:t>plications system</w:t>
            </w:r>
            <w:r w:rsidR="00DC090C">
              <w:t xml:space="preserve"> to</w:t>
            </w:r>
            <w:r w:rsidR="00721F6F">
              <w:t>, as follows</w:t>
            </w:r>
            <w:r w:rsidR="005C14A2">
              <w:t>:</w:t>
            </w:r>
          </w:p>
          <w:p w14:paraId="4081E3F2" w14:textId="78CF36B8" w:rsidR="00260991" w:rsidRDefault="002362A3" w:rsidP="00AF5A0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t</w:t>
            </w:r>
            <w:r w:rsidRPr="005C14A2">
              <w:t xml:space="preserve">he system </w:t>
            </w:r>
            <w:r>
              <w:t>to</w:t>
            </w:r>
            <w:r w:rsidRPr="005C14A2">
              <w:t xml:space="preserve"> allow an applicant for employment to</w:t>
            </w:r>
            <w:r w:rsidR="00DC090C">
              <w:t xml:space="preserve"> </w:t>
            </w:r>
            <w:r>
              <w:t xml:space="preserve">complete </w:t>
            </w:r>
            <w:r w:rsidRPr="00260991">
              <w:t>the standardized aptitude test</w:t>
            </w:r>
            <w:r>
              <w:t xml:space="preserve"> online and</w:t>
            </w:r>
            <w:r w:rsidR="00DC090C">
              <w:t xml:space="preserve"> </w:t>
            </w:r>
            <w:r w:rsidRPr="00260991">
              <w:t>enter the test into an online database from which the applicant may electronically send the test to multiple state agencies</w:t>
            </w:r>
            <w:r>
              <w:t>;</w:t>
            </w:r>
          </w:p>
          <w:p w14:paraId="7DC1405A" w14:textId="4AB70F75" w:rsidR="00260991" w:rsidRDefault="002362A3" w:rsidP="00AF5A0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 </w:t>
            </w:r>
            <w:r w:rsidR="000B192A">
              <w:t>TWC</w:t>
            </w:r>
            <w:r>
              <w:t xml:space="preserve"> to </w:t>
            </w:r>
            <w:r w:rsidRPr="00260991">
              <w:t xml:space="preserve">prescribe a standard electronic format for </w:t>
            </w:r>
            <w:r>
              <w:t>the</w:t>
            </w:r>
            <w:r w:rsidRPr="00260991">
              <w:t xml:space="preserve"> standardized aptitude test</w:t>
            </w:r>
            <w:r>
              <w:t xml:space="preserve"> and to </w:t>
            </w:r>
            <w:r w:rsidRPr="00260991">
              <w:t xml:space="preserve">ensure that </w:t>
            </w:r>
            <w:r w:rsidR="00DC090C">
              <w:t>the</w:t>
            </w:r>
            <w:r w:rsidR="00DC090C" w:rsidRPr="00260991">
              <w:t xml:space="preserve"> </w:t>
            </w:r>
            <w:r w:rsidRPr="00260991">
              <w:t>system allows an applicant to submit and a state agency to receive the test</w:t>
            </w:r>
            <w:r w:rsidR="00721F6F">
              <w:t>;</w:t>
            </w:r>
          </w:p>
          <w:p w14:paraId="6F158FB5" w14:textId="1C82B6C7" w:rsidR="00721F6F" w:rsidRDefault="002362A3" w:rsidP="00AF5A09">
            <w:pPr>
              <w:pStyle w:val="Header"/>
              <w:numPr>
                <w:ilvl w:val="0"/>
                <w:numId w:val="2"/>
              </w:numPr>
              <w:jc w:val="both"/>
            </w:pPr>
            <w:r>
              <w:t>establish that the provision</w:t>
            </w:r>
            <w:r w:rsidR="00DC090C">
              <w:t>s</w:t>
            </w:r>
            <w:r>
              <w:t xml:space="preserve"> do not prohibit a state agency from accepting the st</w:t>
            </w:r>
            <w:r>
              <w:t>andardized aptitude test or a specialized aptitude test in a manner other than the manner described those provisions;</w:t>
            </w:r>
          </w:p>
          <w:p w14:paraId="3EFF0846" w14:textId="797B8A27" w:rsidR="00721F6F" w:rsidRDefault="002362A3" w:rsidP="00AF5A09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require the system to inform an applicant that the applicant is not required to complete the standardized aptitude test to apply for an </w:t>
            </w:r>
            <w:r>
              <w:t>employment opening; and</w:t>
            </w:r>
          </w:p>
          <w:p w14:paraId="65C94A8B" w14:textId="5FB2EAAC" w:rsidR="006F22E1" w:rsidRDefault="002362A3" w:rsidP="00AF5A0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the system to list the classified positions for which the standardized aptitude test will be accepted.</w:t>
            </w:r>
          </w:p>
          <w:p w14:paraId="21B07F87" w14:textId="77777777" w:rsidR="008423E4" w:rsidRPr="00835628" w:rsidRDefault="008423E4" w:rsidP="00AF5A09">
            <w:pPr>
              <w:rPr>
                <w:b/>
              </w:rPr>
            </w:pPr>
          </w:p>
        </w:tc>
      </w:tr>
      <w:tr w:rsidR="00BC3A35" w14:paraId="6F5652DA" w14:textId="77777777" w:rsidTr="005118FA">
        <w:tc>
          <w:tcPr>
            <w:tcW w:w="9360" w:type="dxa"/>
          </w:tcPr>
          <w:p w14:paraId="5DB6167C" w14:textId="77777777" w:rsidR="008423E4" w:rsidRPr="00A8133F" w:rsidRDefault="002362A3" w:rsidP="00AF5A0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897847" w14:textId="77777777" w:rsidR="008423E4" w:rsidRDefault="008423E4" w:rsidP="00AF5A09"/>
          <w:p w14:paraId="0DD7FE7C" w14:textId="501B06EA" w:rsidR="008423E4" w:rsidRPr="003624F2" w:rsidRDefault="002362A3" w:rsidP="00AF5A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4A817C" w14:textId="77777777" w:rsidR="008423E4" w:rsidRPr="00233FDB" w:rsidRDefault="008423E4" w:rsidP="00AF5A09">
            <w:pPr>
              <w:rPr>
                <w:b/>
              </w:rPr>
            </w:pPr>
          </w:p>
        </w:tc>
      </w:tr>
      <w:tr w:rsidR="00BC3A35" w14:paraId="0A2D83D5" w14:textId="77777777" w:rsidTr="005118FA">
        <w:tc>
          <w:tcPr>
            <w:tcW w:w="9360" w:type="dxa"/>
          </w:tcPr>
          <w:p w14:paraId="56BFDBC1" w14:textId="77777777" w:rsidR="00F51CF5" w:rsidRDefault="002362A3" w:rsidP="00AF5A0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A739BB0" w14:textId="77777777" w:rsidR="00E568E7" w:rsidRDefault="00E568E7" w:rsidP="00AF5A09">
            <w:pPr>
              <w:jc w:val="both"/>
              <w:rPr>
                <w:b/>
                <w:u w:val="single"/>
              </w:rPr>
            </w:pPr>
          </w:p>
          <w:p w14:paraId="002882C9" w14:textId="77777777" w:rsidR="00F70720" w:rsidRDefault="002362A3" w:rsidP="00AF5A09">
            <w:pPr>
              <w:jc w:val="both"/>
            </w:pPr>
            <w:r>
              <w:t xml:space="preserve">While C.S.H.B. 3924 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2D2E1650" w14:textId="77777777" w:rsidR="00F70720" w:rsidRDefault="00F70720" w:rsidP="00AF5A09">
            <w:pPr>
              <w:jc w:val="both"/>
            </w:pPr>
          </w:p>
          <w:p w14:paraId="5C1AC4DE" w14:textId="74049521" w:rsidR="00F70720" w:rsidRDefault="002362A3" w:rsidP="00AF5A09">
            <w:pPr>
              <w:jc w:val="both"/>
            </w:pPr>
            <w:r w:rsidRPr="00E568E7">
              <w:t xml:space="preserve">The substitute changes </w:t>
            </w:r>
            <w:r>
              <w:t>the agency responsible for collecting the lists of skills</w:t>
            </w:r>
            <w:r w:rsidR="00C52129">
              <w:t xml:space="preserve"> for each applicable position</w:t>
            </w:r>
            <w:r>
              <w:t xml:space="preserve"> from other state agencies and developing the aptitude assessment from TWC,</w:t>
            </w:r>
            <w:r w:rsidRPr="00E568E7">
              <w:t xml:space="preserve"> as </w:t>
            </w:r>
            <w:r>
              <w:t xml:space="preserve">in the introduced, to the SAO. The substitute makes additional related updates to the language in the introduced to reflect this change. </w:t>
            </w:r>
          </w:p>
          <w:p w14:paraId="09FF5DA8" w14:textId="77777777" w:rsidR="00F70720" w:rsidRDefault="00F70720" w:rsidP="00AF5A09">
            <w:pPr>
              <w:jc w:val="both"/>
            </w:pPr>
          </w:p>
          <w:p w14:paraId="24B8A3D0" w14:textId="77777777" w:rsidR="00F70720" w:rsidRDefault="002362A3" w:rsidP="00AF5A09">
            <w:pPr>
              <w:jc w:val="both"/>
            </w:pPr>
            <w:r>
              <w:t>The substitut</w:t>
            </w:r>
            <w:r>
              <w:t>e includes language absent from the introduced specifying that the list of skills submitted to the SAO for review is a list of skills for each applicable position.</w:t>
            </w:r>
          </w:p>
          <w:p w14:paraId="5A713BBA" w14:textId="77777777" w:rsidR="00F70720" w:rsidRDefault="00F70720" w:rsidP="00AF5A09">
            <w:pPr>
              <w:jc w:val="both"/>
            </w:pPr>
          </w:p>
          <w:p w14:paraId="02838261" w14:textId="450D2E41" w:rsidR="00F70720" w:rsidRPr="00F51CF5" w:rsidRDefault="002362A3" w:rsidP="00AF5A09">
            <w:pPr>
              <w:jc w:val="both"/>
              <w:rPr>
                <w:b/>
                <w:u w:val="single"/>
              </w:rPr>
            </w:pPr>
            <w:r>
              <w:t>The bill includes a requirement absent from the introduced for the rules adopted to include</w:t>
            </w:r>
            <w:r>
              <w:t xml:space="preserve"> </w:t>
            </w:r>
            <w:r w:rsidRPr="00CA5DB9">
              <w:t xml:space="preserve">rules that require a state agency to accept the standardized aptitude test as an alternative to a hiring requirement that relates to an applicant's education or experience, as determined appropriate by the </w:t>
            </w:r>
            <w:r>
              <w:t>SAO</w:t>
            </w:r>
            <w:r w:rsidRPr="00CA5DB9">
              <w:t>.</w:t>
            </w:r>
          </w:p>
        </w:tc>
      </w:tr>
    </w:tbl>
    <w:p w14:paraId="138E3104" w14:textId="77777777" w:rsidR="004108C3" w:rsidRPr="005118FA" w:rsidRDefault="004108C3" w:rsidP="00AF5A09">
      <w:pPr>
        <w:jc w:val="both"/>
        <w:rPr>
          <w:sz w:val="6"/>
          <w:szCs w:val="6"/>
        </w:rPr>
      </w:pPr>
    </w:p>
    <w:sectPr w:rsidR="004108C3" w:rsidRPr="005118FA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F0A1" w14:textId="77777777" w:rsidR="00000000" w:rsidRDefault="002362A3">
      <w:r>
        <w:separator/>
      </w:r>
    </w:p>
  </w:endnote>
  <w:endnote w:type="continuationSeparator" w:id="0">
    <w:p w14:paraId="0E96279D" w14:textId="77777777" w:rsidR="00000000" w:rsidRDefault="0023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845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C3A35" w14:paraId="01B43D2A" w14:textId="77777777" w:rsidTr="009C1E9A">
      <w:trPr>
        <w:cantSplit/>
      </w:trPr>
      <w:tc>
        <w:tcPr>
          <w:tcW w:w="0" w:type="pct"/>
        </w:tcPr>
        <w:p w14:paraId="672C36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3E46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10B32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B51B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BF003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3A35" w14:paraId="35160D18" w14:textId="77777777" w:rsidTr="009C1E9A">
      <w:trPr>
        <w:cantSplit/>
      </w:trPr>
      <w:tc>
        <w:tcPr>
          <w:tcW w:w="0" w:type="pct"/>
        </w:tcPr>
        <w:p w14:paraId="7A9B2E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589D13" w14:textId="64474C94" w:rsidR="00EC379B" w:rsidRPr="009C1E9A" w:rsidRDefault="002362A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25153-D</w:t>
          </w:r>
        </w:p>
      </w:tc>
      <w:tc>
        <w:tcPr>
          <w:tcW w:w="2453" w:type="pct"/>
        </w:tcPr>
        <w:p w14:paraId="188EB081" w14:textId="6ED9FEA8" w:rsidR="00EC379B" w:rsidRDefault="002362A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068B">
            <w:t>23.110.260</w:t>
          </w:r>
          <w:r>
            <w:fldChar w:fldCharType="end"/>
          </w:r>
        </w:p>
      </w:tc>
    </w:tr>
    <w:tr w:rsidR="00BC3A35" w14:paraId="5DDB26A1" w14:textId="77777777" w:rsidTr="009C1E9A">
      <w:trPr>
        <w:cantSplit/>
      </w:trPr>
      <w:tc>
        <w:tcPr>
          <w:tcW w:w="0" w:type="pct"/>
        </w:tcPr>
        <w:p w14:paraId="2A012F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8657E6" w14:textId="6D356770" w:rsidR="00EC379B" w:rsidRPr="009C1E9A" w:rsidRDefault="002362A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14000</w:t>
          </w:r>
        </w:p>
      </w:tc>
      <w:tc>
        <w:tcPr>
          <w:tcW w:w="2453" w:type="pct"/>
        </w:tcPr>
        <w:p w14:paraId="5EE6D57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9817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C3A35" w14:paraId="1629012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65E387" w14:textId="77777777" w:rsidR="00EC379B" w:rsidRDefault="002362A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ED681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1D7ED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BB6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5742" w14:textId="77777777" w:rsidR="00000000" w:rsidRDefault="002362A3">
      <w:r>
        <w:separator/>
      </w:r>
    </w:p>
  </w:footnote>
  <w:footnote w:type="continuationSeparator" w:id="0">
    <w:p w14:paraId="5653B792" w14:textId="77777777" w:rsidR="00000000" w:rsidRDefault="0023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F82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977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F9C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0F"/>
    <w:multiLevelType w:val="hybridMultilevel"/>
    <w:tmpl w:val="BECC2B7C"/>
    <w:lvl w:ilvl="0" w:tplc="0A269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A2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AA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E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66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6A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A8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8A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C4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730"/>
    <w:multiLevelType w:val="hybridMultilevel"/>
    <w:tmpl w:val="B8784CAA"/>
    <w:lvl w:ilvl="0" w:tplc="322E7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4E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AB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E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09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84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A7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C5D"/>
    <w:multiLevelType w:val="hybridMultilevel"/>
    <w:tmpl w:val="B2B2EB72"/>
    <w:lvl w:ilvl="0" w:tplc="CC545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CC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62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A1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C0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E2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62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C9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09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6B7F"/>
    <w:multiLevelType w:val="hybridMultilevel"/>
    <w:tmpl w:val="7DC0A52C"/>
    <w:lvl w:ilvl="0" w:tplc="11D8D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CB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21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69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A8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E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E7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8F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92FB9"/>
    <w:multiLevelType w:val="hybridMultilevel"/>
    <w:tmpl w:val="F78C6194"/>
    <w:lvl w:ilvl="0" w:tplc="182A5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26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01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04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20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29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AA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88"/>
    <w:rsid w:val="00000A70"/>
    <w:rsid w:val="000032B8"/>
    <w:rsid w:val="00003B06"/>
    <w:rsid w:val="000054B9"/>
    <w:rsid w:val="00007461"/>
    <w:rsid w:val="0001117E"/>
    <w:rsid w:val="0001125F"/>
    <w:rsid w:val="00011B97"/>
    <w:rsid w:val="0001338E"/>
    <w:rsid w:val="00013D24"/>
    <w:rsid w:val="00014AF0"/>
    <w:rsid w:val="000155D6"/>
    <w:rsid w:val="00015D4E"/>
    <w:rsid w:val="00020C1E"/>
    <w:rsid w:val="00020E9B"/>
    <w:rsid w:val="000210DB"/>
    <w:rsid w:val="00022640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CDF"/>
    <w:rsid w:val="0004512B"/>
    <w:rsid w:val="000463F0"/>
    <w:rsid w:val="00046BDA"/>
    <w:rsid w:val="00047413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75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92A"/>
    <w:rsid w:val="000B3E61"/>
    <w:rsid w:val="000B54AF"/>
    <w:rsid w:val="000B6090"/>
    <w:rsid w:val="000B6FEE"/>
    <w:rsid w:val="000C12C4"/>
    <w:rsid w:val="000C26A9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6B9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25F"/>
    <w:rsid w:val="001639C5"/>
    <w:rsid w:val="00163E45"/>
    <w:rsid w:val="001664C2"/>
    <w:rsid w:val="00167E57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28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2EF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2A3"/>
    <w:rsid w:val="0023737B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991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B7BB2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9A7"/>
    <w:rsid w:val="00336BA4"/>
    <w:rsid w:val="00336C7A"/>
    <w:rsid w:val="00337392"/>
    <w:rsid w:val="00337659"/>
    <w:rsid w:val="003427C9"/>
    <w:rsid w:val="00343A92"/>
    <w:rsid w:val="00344206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80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68B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8FA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D84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4A2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A94"/>
    <w:rsid w:val="006757AA"/>
    <w:rsid w:val="0068127E"/>
    <w:rsid w:val="00681790"/>
    <w:rsid w:val="006823AA"/>
    <w:rsid w:val="00682C26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2E1"/>
    <w:rsid w:val="006F365D"/>
    <w:rsid w:val="006F4BB0"/>
    <w:rsid w:val="006F715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FBA"/>
    <w:rsid w:val="00717739"/>
    <w:rsid w:val="00717DE4"/>
    <w:rsid w:val="00721724"/>
    <w:rsid w:val="00721F6F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50C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41A"/>
    <w:rsid w:val="00823E4C"/>
    <w:rsid w:val="008246CF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1FE"/>
    <w:rsid w:val="008947A7"/>
    <w:rsid w:val="00897E80"/>
    <w:rsid w:val="008A04FA"/>
    <w:rsid w:val="008A3188"/>
    <w:rsid w:val="008A3FDF"/>
    <w:rsid w:val="008A4984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25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C6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BDD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EF6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1A4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A09"/>
    <w:rsid w:val="00AF7C74"/>
    <w:rsid w:val="00B000AF"/>
    <w:rsid w:val="00B04E79"/>
    <w:rsid w:val="00B05FE0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ED7"/>
    <w:rsid w:val="00B25612"/>
    <w:rsid w:val="00B26437"/>
    <w:rsid w:val="00B2678E"/>
    <w:rsid w:val="00B30647"/>
    <w:rsid w:val="00B30C88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A35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129"/>
    <w:rsid w:val="00C57933"/>
    <w:rsid w:val="00C60206"/>
    <w:rsid w:val="00C615D4"/>
    <w:rsid w:val="00C61B5D"/>
    <w:rsid w:val="00C61C0E"/>
    <w:rsid w:val="00C61C64"/>
    <w:rsid w:val="00C61CDA"/>
    <w:rsid w:val="00C6653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5BC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DB9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56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FA1"/>
    <w:rsid w:val="00D83072"/>
    <w:rsid w:val="00D83ABC"/>
    <w:rsid w:val="00D84870"/>
    <w:rsid w:val="00D8510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90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DF3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3E2"/>
    <w:rsid w:val="00E3469B"/>
    <w:rsid w:val="00E3679D"/>
    <w:rsid w:val="00E36872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8E7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994"/>
    <w:rsid w:val="00E8272C"/>
    <w:rsid w:val="00E827C7"/>
    <w:rsid w:val="00E85DBD"/>
    <w:rsid w:val="00E87A99"/>
    <w:rsid w:val="00E90702"/>
    <w:rsid w:val="00E90D96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45E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A90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CF5"/>
    <w:rsid w:val="00F52402"/>
    <w:rsid w:val="00F5605D"/>
    <w:rsid w:val="00F6514B"/>
    <w:rsid w:val="00F6533E"/>
    <w:rsid w:val="00F6587F"/>
    <w:rsid w:val="00F67981"/>
    <w:rsid w:val="00F706CA"/>
    <w:rsid w:val="00F70720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955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424CA7-03C6-429A-B0C2-D19F48DA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16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6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6B9"/>
    <w:rPr>
      <w:b/>
      <w:bCs/>
    </w:rPr>
  </w:style>
  <w:style w:type="paragraph" w:styleId="Revision">
    <w:name w:val="Revision"/>
    <w:hidden/>
    <w:uiPriority w:val="99"/>
    <w:semiHidden/>
    <w:rsid w:val="000474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192A"/>
    <w:pPr>
      <w:ind w:left="720"/>
      <w:contextualSpacing/>
    </w:pPr>
  </w:style>
  <w:style w:type="character" w:styleId="Hyperlink">
    <w:name w:val="Hyperlink"/>
    <w:basedOn w:val="DefaultParagraphFont"/>
    <w:unhideWhenUsed/>
    <w:rsid w:val="008A49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6122</Characters>
  <Application>Microsoft Office Word</Application>
  <DocSecurity>4</DocSecurity>
  <Lines>123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HB03924 (Committee Report (Substituted))</vt:lpstr>
    </vt:vector>
  </TitlesOfParts>
  <Company>State of Texas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25153</dc:subject>
  <dc:creator>State of Texas</dc:creator>
  <dc:description>HB 3924 by Oliverson-(H)State Affairs (Substitute Document Number: 88R 14000)</dc:description>
  <cp:lastModifiedBy>Matthew Lee</cp:lastModifiedBy>
  <cp:revision>2</cp:revision>
  <cp:lastPrinted>2003-11-26T17:21:00Z</cp:lastPrinted>
  <dcterms:created xsi:type="dcterms:W3CDTF">2023-04-25T22:30:00Z</dcterms:created>
  <dcterms:modified xsi:type="dcterms:W3CDTF">2023-04-25T22:30:00Z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23.110.260</vt:lpwstr>
  </property>
</Properties>
</file>