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51BF0" w14:paraId="32E9F00F" w14:textId="77777777" w:rsidTr="00345119">
        <w:tc>
          <w:tcPr>
            <w:tcW w:w="9576" w:type="dxa"/>
            <w:noWrap/>
          </w:tcPr>
          <w:p w14:paraId="6D60BAC4" w14:textId="77777777" w:rsidR="008423E4" w:rsidRPr="0022177D" w:rsidRDefault="005C1FB7" w:rsidP="008A062F">
            <w:pPr>
              <w:pStyle w:val="Heading1"/>
            </w:pPr>
            <w:r w:rsidRPr="00631897">
              <w:t>BILL ANALYSIS</w:t>
            </w:r>
          </w:p>
        </w:tc>
      </w:tr>
    </w:tbl>
    <w:p w14:paraId="53AB36DB" w14:textId="77777777" w:rsidR="008423E4" w:rsidRPr="0022177D" w:rsidRDefault="008423E4" w:rsidP="008A062F">
      <w:pPr>
        <w:jc w:val="center"/>
      </w:pPr>
    </w:p>
    <w:p w14:paraId="6A644D5E" w14:textId="77777777" w:rsidR="008423E4" w:rsidRPr="00B31F0E" w:rsidRDefault="008423E4" w:rsidP="008A062F"/>
    <w:p w14:paraId="24F8F8E0" w14:textId="77777777" w:rsidR="008423E4" w:rsidRPr="00742794" w:rsidRDefault="008423E4" w:rsidP="008A062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51BF0" w14:paraId="3958F557" w14:textId="77777777" w:rsidTr="00345119">
        <w:tc>
          <w:tcPr>
            <w:tcW w:w="9576" w:type="dxa"/>
          </w:tcPr>
          <w:p w14:paraId="7E706829" w14:textId="4031DB3A" w:rsidR="008423E4" w:rsidRPr="00861995" w:rsidRDefault="005C1FB7" w:rsidP="008A062F">
            <w:pPr>
              <w:jc w:val="right"/>
            </w:pPr>
            <w:r>
              <w:t>H.B. 3989</w:t>
            </w:r>
          </w:p>
        </w:tc>
      </w:tr>
      <w:tr w:rsidR="00651BF0" w14:paraId="489D8A59" w14:textId="77777777" w:rsidTr="00345119">
        <w:tc>
          <w:tcPr>
            <w:tcW w:w="9576" w:type="dxa"/>
          </w:tcPr>
          <w:p w14:paraId="24C8DB9B" w14:textId="36F8DD77" w:rsidR="008423E4" w:rsidRPr="00861995" w:rsidRDefault="005C1FB7" w:rsidP="008A062F">
            <w:pPr>
              <w:jc w:val="right"/>
            </w:pPr>
            <w:r>
              <w:t xml:space="preserve">By: </w:t>
            </w:r>
            <w:r w:rsidR="002F131A">
              <w:t>Raney</w:t>
            </w:r>
          </w:p>
        </w:tc>
      </w:tr>
      <w:tr w:rsidR="00651BF0" w14:paraId="1D5BC9E7" w14:textId="77777777" w:rsidTr="00345119">
        <w:tc>
          <w:tcPr>
            <w:tcW w:w="9576" w:type="dxa"/>
          </w:tcPr>
          <w:p w14:paraId="5ED14548" w14:textId="1FAD0128" w:rsidR="008423E4" w:rsidRPr="00861995" w:rsidRDefault="005C1FB7" w:rsidP="008A062F">
            <w:pPr>
              <w:jc w:val="right"/>
            </w:pPr>
            <w:r>
              <w:t>Transportation</w:t>
            </w:r>
          </w:p>
        </w:tc>
      </w:tr>
      <w:tr w:rsidR="00651BF0" w14:paraId="4B745395" w14:textId="77777777" w:rsidTr="00345119">
        <w:tc>
          <w:tcPr>
            <w:tcW w:w="9576" w:type="dxa"/>
          </w:tcPr>
          <w:p w14:paraId="655D683A" w14:textId="4BBAB64D" w:rsidR="008423E4" w:rsidRDefault="005C1FB7" w:rsidP="008A062F">
            <w:pPr>
              <w:jc w:val="right"/>
            </w:pPr>
            <w:r>
              <w:t>Committee Report (Unamended)</w:t>
            </w:r>
          </w:p>
        </w:tc>
      </w:tr>
    </w:tbl>
    <w:p w14:paraId="48B76527" w14:textId="77777777" w:rsidR="008423E4" w:rsidRDefault="008423E4" w:rsidP="008A062F">
      <w:pPr>
        <w:tabs>
          <w:tab w:val="right" w:pos="9360"/>
        </w:tabs>
      </w:pPr>
    </w:p>
    <w:p w14:paraId="3EB063D5" w14:textId="77777777" w:rsidR="008423E4" w:rsidRDefault="008423E4" w:rsidP="008A062F"/>
    <w:p w14:paraId="0FF2B3FB" w14:textId="77777777" w:rsidR="008423E4" w:rsidRDefault="008423E4" w:rsidP="008A062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51BF0" w14:paraId="5BB2FF07" w14:textId="77777777" w:rsidTr="00345119">
        <w:tc>
          <w:tcPr>
            <w:tcW w:w="9576" w:type="dxa"/>
          </w:tcPr>
          <w:p w14:paraId="6CEF503D" w14:textId="77777777" w:rsidR="008423E4" w:rsidRPr="00A8133F" w:rsidRDefault="005C1FB7" w:rsidP="008A062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3E62CDF" w14:textId="77777777" w:rsidR="008423E4" w:rsidRDefault="008423E4" w:rsidP="008A062F"/>
          <w:p w14:paraId="20543277" w14:textId="57C0FC84" w:rsidR="008423E4" w:rsidRDefault="005C1FB7" w:rsidP="008A062F">
            <w:pPr>
              <w:pStyle w:val="Header"/>
              <w:jc w:val="both"/>
            </w:pPr>
            <w:r w:rsidRPr="009401EA">
              <w:t xml:space="preserve">Currently, the Texas Department of Transportation (TxDOT) does not have a comprehensive written policy upon which it relies when </w:t>
            </w:r>
            <w:r w:rsidRPr="009401EA">
              <w:t>determining that a design professional should be precluded from a project or contract. Each T</w:t>
            </w:r>
            <w:r w:rsidR="00827604">
              <w:t>x</w:t>
            </w:r>
            <w:r w:rsidRPr="009401EA">
              <w:t>DOT district exercises independent judgment on a case-by-case basis and often provides only a vague explanation of a perceived conflict of interest. This practice</w:t>
            </w:r>
            <w:r w:rsidRPr="009401EA">
              <w:t xml:space="preserve"> results in inconsistency and confusion throughout all districts and across all projects.  Texas </w:t>
            </w:r>
            <w:r w:rsidR="00272003">
              <w:t>law</w:t>
            </w:r>
            <w:r w:rsidRPr="009401EA">
              <w:t xml:space="preserve"> contains conflict-of-interest provisions applicable to contracts with state agencies. TxDOT predominantly cites this </w:t>
            </w:r>
            <w:r w:rsidR="00272003">
              <w:t>law</w:t>
            </w:r>
            <w:r w:rsidRPr="009401EA">
              <w:t xml:space="preserve"> as the basis for its preclusion de</w:t>
            </w:r>
            <w:r w:rsidRPr="009401EA">
              <w:t>terminations. However, there is often no nexus between the statutory conflicts of interest and the reasons given for a particular preclusion.</w:t>
            </w:r>
            <w:r>
              <w:t xml:space="preserve"> </w:t>
            </w:r>
            <w:r w:rsidRPr="009401EA">
              <w:t>Because of this inconsistency throughout the TxDOT districts an increase in inefficiencies, contractual uncertaint</w:t>
            </w:r>
            <w:r w:rsidRPr="009401EA">
              <w:t xml:space="preserve">y, and project delays can and do exist. </w:t>
            </w:r>
            <w:r w:rsidR="00272003">
              <w:t>H.B. 3989</w:t>
            </w:r>
            <w:r>
              <w:t xml:space="preserve"> </w:t>
            </w:r>
            <w:r w:rsidR="00272003">
              <w:t>seeks to</w:t>
            </w:r>
            <w:r>
              <w:t xml:space="preserve"> require T</w:t>
            </w:r>
            <w:r w:rsidR="00827604">
              <w:t>x</w:t>
            </w:r>
            <w:r>
              <w:t>DOT to</w:t>
            </w:r>
            <w:r w:rsidR="00272003">
              <w:t xml:space="preserve"> e</w:t>
            </w:r>
            <w:r>
              <w:t>stablish a written preclusion policy</w:t>
            </w:r>
            <w:r w:rsidR="00272003">
              <w:t>, d</w:t>
            </w:r>
            <w:r>
              <w:t>istribute or publicize the written policy</w:t>
            </w:r>
            <w:r w:rsidR="00272003">
              <w:t>, and p</w:t>
            </w:r>
            <w:r>
              <w:t>rovide an opportunity for precluded consultants to appeal T</w:t>
            </w:r>
            <w:r w:rsidR="00827604">
              <w:t>x</w:t>
            </w:r>
            <w:r>
              <w:t>DOT</w:t>
            </w:r>
            <w:r w:rsidR="00827604">
              <w:t>'</w:t>
            </w:r>
            <w:r>
              <w:t>s decisions.</w:t>
            </w:r>
          </w:p>
          <w:p w14:paraId="5920D5B2" w14:textId="77777777" w:rsidR="008423E4" w:rsidRPr="00E26B13" w:rsidRDefault="008423E4" w:rsidP="008A062F">
            <w:pPr>
              <w:rPr>
                <w:b/>
              </w:rPr>
            </w:pPr>
          </w:p>
        </w:tc>
      </w:tr>
      <w:tr w:rsidR="00651BF0" w14:paraId="7A645DD0" w14:textId="77777777" w:rsidTr="00345119">
        <w:tc>
          <w:tcPr>
            <w:tcW w:w="9576" w:type="dxa"/>
          </w:tcPr>
          <w:p w14:paraId="7CEEA8EC" w14:textId="77777777" w:rsidR="0017725B" w:rsidRDefault="005C1FB7" w:rsidP="008A062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</w:t>
            </w:r>
            <w:r>
              <w:rPr>
                <w:b/>
                <w:u w:val="single"/>
              </w:rPr>
              <w:t>ICE IMPACT</w:t>
            </w:r>
          </w:p>
          <w:p w14:paraId="6AD36FD3" w14:textId="77777777" w:rsidR="0017725B" w:rsidRDefault="0017725B" w:rsidP="008A062F">
            <w:pPr>
              <w:rPr>
                <w:b/>
                <w:u w:val="single"/>
              </w:rPr>
            </w:pPr>
          </w:p>
          <w:p w14:paraId="1CD15471" w14:textId="25A140C1" w:rsidR="00A5543E" w:rsidRPr="00A5543E" w:rsidRDefault="005C1FB7" w:rsidP="008A062F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</w:t>
            </w:r>
            <w:r>
              <w:t>, or mandatory supervision.</w:t>
            </w:r>
          </w:p>
          <w:p w14:paraId="62733FD3" w14:textId="77777777" w:rsidR="0017725B" w:rsidRPr="0017725B" w:rsidRDefault="0017725B" w:rsidP="008A062F">
            <w:pPr>
              <w:rPr>
                <w:b/>
                <w:u w:val="single"/>
              </w:rPr>
            </w:pPr>
          </w:p>
        </w:tc>
      </w:tr>
      <w:tr w:rsidR="00651BF0" w14:paraId="430E04D9" w14:textId="77777777" w:rsidTr="00345119">
        <w:tc>
          <w:tcPr>
            <w:tcW w:w="9576" w:type="dxa"/>
          </w:tcPr>
          <w:p w14:paraId="776FDE6F" w14:textId="77777777" w:rsidR="008423E4" w:rsidRPr="00A8133F" w:rsidRDefault="005C1FB7" w:rsidP="008A062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9B53B7E" w14:textId="77777777" w:rsidR="008423E4" w:rsidRDefault="008423E4" w:rsidP="008A062F"/>
          <w:p w14:paraId="2C15BDDB" w14:textId="5921500D" w:rsidR="00A5543E" w:rsidRDefault="005C1FB7" w:rsidP="008A062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79610C4" w14:textId="77777777" w:rsidR="008423E4" w:rsidRPr="00E21FDC" w:rsidRDefault="008423E4" w:rsidP="008A062F">
            <w:pPr>
              <w:rPr>
                <w:b/>
              </w:rPr>
            </w:pPr>
          </w:p>
        </w:tc>
      </w:tr>
      <w:tr w:rsidR="00651BF0" w14:paraId="5A19C56D" w14:textId="77777777" w:rsidTr="00345119">
        <w:tc>
          <w:tcPr>
            <w:tcW w:w="9576" w:type="dxa"/>
          </w:tcPr>
          <w:p w14:paraId="0BDCC3EA" w14:textId="77777777" w:rsidR="008423E4" w:rsidRPr="00A8133F" w:rsidRDefault="005C1FB7" w:rsidP="008A062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F549BA2" w14:textId="77777777" w:rsidR="008423E4" w:rsidRDefault="008423E4" w:rsidP="008A062F"/>
          <w:p w14:paraId="5BE37575" w14:textId="7658DA49" w:rsidR="009C36CD" w:rsidRDefault="005C1FB7" w:rsidP="008A062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3989 amends the Government Code to require the Texas Department of Transportation (TxDOT) to adopt a written preclusion policy before </w:t>
            </w:r>
            <w:r w:rsidR="004E1FF5">
              <w:t xml:space="preserve">it </w:t>
            </w:r>
            <w:r w:rsidRPr="004A3652">
              <w:t>may make a determination that a private design professional</w:t>
            </w:r>
            <w:r w:rsidR="009942AE">
              <w:t xml:space="preserve"> </w:t>
            </w:r>
            <w:r w:rsidRPr="004A3652">
              <w:t xml:space="preserve">is precluded from performing a contract for </w:t>
            </w:r>
            <w:r w:rsidR="009942AE">
              <w:t xml:space="preserve">architectural or engineering services </w:t>
            </w:r>
            <w:r w:rsidRPr="004A3652">
              <w:t>or from participating in a procurement for those services</w:t>
            </w:r>
            <w:r>
              <w:t>.</w:t>
            </w:r>
            <w:r w:rsidR="009942AE">
              <w:t xml:space="preserve"> The bill defines </w:t>
            </w:r>
            <w:r w:rsidR="009942AE" w:rsidRPr="009942AE">
              <w:t>"private design professional"</w:t>
            </w:r>
            <w:r w:rsidR="009942AE">
              <w:t xml:space="preserve"> by reference as a registered architect or licensed engineer.</w:t>
            </w:r>
            <w:r>
              <w:t xml:space="preserve"> The bill requires the policy to</w:t>
            </w:r>
            <w:r w:rsidR="009942AE">
              <w:t xml:space="preserve"> do the following</w:t>
            </w:r>
            <w:r>
              <w:t>:</w:t>
            </w:r>
          </w:p>
          <w:p w14:paraId="06F81821" w14:textId="7D976876" w:rsidR="004A3652" w:rsidRDefault="005C1FB7" w:rsidP="008A062F">
            <w:pPr>
              <w:pStyle w:val="Header"/>
              <w:numPr>
                <w:ilvl w:val="0"/>
                <w:numId w:val="1"/>
              </w:numPr>
              <w:jc w:val="both"/>
            </w:pPr>
            <w:r>
              <w:t>be publishe</w:t>
            </w:r>
            <w:r>
              <w:t xml:space="preserve">d or distributed in a manner that ensures that private design professionals in </w:t>
            </w:r>
            <w:r w:rsidR="00A5543E">
              <w:t>Texas</w:t>
            </w:r>
            <w:r>
              <w:t xml:space="preserve"> are aware of the policy;</w:t>
            </w:r>
          </w:p>
          <w:p w14:paraId="16E7CE2B" w14:textId="4E7D1125" w:rsidR="004A3652" w:rsidRDefault="005C1FB7" w:rsidP="008A062F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provide that the private design professional be notified in writing at the time </w:t>
            </w:r>
            <w:r w:rsidR="00A5543E">
              <w:t>TxDOT</w:t>
            </w:r>
            <w:r>
              <w:t xml:space="preserve"> determines that a potential basis for preclusion exists; and</w:t>
            </w:r>
          </w:p>
          <w:p w14:paraId="1CF611CC" w14:textId="2F07A709" w:rsidR="004A3652" w:rsidRDefault="005C1FB7" w:rsidP="008A062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provide for an appeals process by which the private design professional is given a reasonable amount of time to establish that no basis for preclusion under the policy exists.</w:t>
            </w:r>
          </w:p>
          <w:p w14:paraId="02F8D61C" w14:textId="77777777" w:rsidR="00121EDE" w:rsidRDefault="00121EDE" w:rsidP="008A062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39FE201" w14:textId="49BB0EDE" w:rsidR="00A5543E" w:rsidRPr="009C36CD" w:rsidRDefault="005C1FB7" w:rsidP="008A062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3989 applies only to </w:t>
            </w:r>
            <w:r w:rsidRPr="00A5543E">
              <w:t xml:space="preserve">a contract entered into on or after the </w:t>
            </w:r>
            <w:r>
              <w:t xml:space="preserve">bill's </w:t>
            </w:r>
            <w:r w:rsidRPr="00A5543E">
              <w:t>effec</w:t>
            </w:r>
            <w:r w:rsidRPr="00A5543E">
              <w:t>tive date</w:t>
            </w:r>
            <w:r>
              <w:t xml:space="preserve">. </w:t>
            </w:r>
          </w:p>
          <w:p w14:paraId="401E0104" w14:textId="77777777" w:rsidR="008423E4" w:rsidRPr="00835628" w:rsidRDefault="008423E4" w:rsidP="008A062F">
            <w:pPr>
              <w:rPr>
                <w:b/>
              </w:rPr>
            </w:pPr>
          </w:p>
        </w:tc>
      </w:tr>
      <w:tr w:rsidR="00651BF0" w14:paraId="5846F901" w14:textId="77777777" w:rsidTr="00345119">
        <w:tc>
          <w:tcPr>
            <w:tcW w:w="9576" w:type="dxa"/>
          </w:tcPr>
          <w:p w14:paraId="29B7D1AC" w14:textId="77777777" w:rsidR="008423E4" w:rsidRPr="00A8133F" w:rsidRDefault="005C1FB7" w:rsidP="008A062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BF37C9E" w14:textId="77777777" w:rsidR="008423E4" w:rsidRDefault="008423E4" w:rsidP="008A062F"/>
          <w:p w14:paraId="170077AB" w14:textId="363DED74" w:rsidR="008423E4" w:rsidRPr="003624F2" w:rsidRDefault="005C1FB7" w:rsidP="008A062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07FB8C6D" w14:textId="77777777" w:rsidR="008423E4" w:rsidRPr="00233FDB" w:rsidRDefault="008423E4" w:rsidP="008A062F">
            <w:pPr>
              <w:rPr>
                <w:b/>
              </w:rPr>
            </w:pPr>
          </w:p>
        </w:tc>
      </w:tr>
    </w:tbl>
    <w:p w14:paraId="35CB792D" w14:textId="77777777" w:rsidR="008423E4" w:rsidRPr="00BE0E75" w:rsidRDefault="008423E4" w:rsidP="008A062F">
      <w:pPr>
        <w:jc w:val="both"/>
        <w:rPr>
          <w:rFonts w:ascii="Arial" w:hAnsi="Arial"/>
          <w:sz w:val="16"/>
          <w:szCs w:val="16"/>
        </w:rPr>
      </w:pPr>
    </w:p>
    <w:p w14:paraId="59F476B5" w14:textId="77777777" w:rsidR="004108C3" w:rsidRPr="008423E4" w:rsidRDefault="004108C3" w:rsidP="008A062F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2895F" w14:textId="77777777" w:rsidR="00000000" w:rsidRDefault="005C1FB7">
      <w:r>
        <w:separator/>
      </w:r>
    </w:p>
  </w:endnote>
  <w:endnote w:type="continuationSeparator" w:id="0">
    <w:p w14:paraId="2E123638" w14:textId="77777777" w:rsidR="00000000" w:rsidRDefault="005C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268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51BF0" w14:paraId="70322ABC" w14:textId="77777777" w:rsidTr="009C1E9A">
      <w:trPr>
        <w:cantSplit/>
      </w:trPr>
      <w:tc>
        <w:tcPr>
          <w:tcW w:w="0" w:type="pct"/>
        </w:tcPr>
        <w:p w14:paraId="189F546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3761F8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5A460A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E1C9BA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A8BCC8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51BF0" w14:paraId="08B428F4" w14:textId="77777777" w:rsidTr="009C1E9A">
      <w:trPr>
        <w:cantSplit/>
      </w:trPr>
      <w:tc>
        <w:tcPr>
          <w:tcW w:w="0" w:type="pct"/>
        </w:tcPr>
        <w:p w14:paraId="4F9E6A6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B63DD4A" w14:textId="518EAFCD" w:rsidR="00EC379B" w:rsidRPr="009C1E9A" w:rsidRDefault="005C1FB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22974-D</w:t>
          </w:r>
        </w:p>
      </w:tc>
      <w:tc>
        <w:tcPr>
          <w:tcW w:w="2453" w:type="pct"/>
        </w:tcPr>
        <w:p w14:paraId="112D0F64" w14:textId="5BA14EE6" w:rsidR="00EC379B" w:rsidRDefault="005C1FB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A062F">
            <w:t>23.101.1526</w:t>
          </w:r>
          <w:r>
            <w:fldChar w:fldCharType="end"/>
          </w:r>
        </w:p>
      </w:tc>
    </w:tr>
    <w:tr w:rsidR="00651BF0" w14:paraId="5FEA3C36" w14:textId="77777777" w:rsidTr="009C1E9A">
      <w:trPr>
        <w:cantSplit/>
      </w:trPr>
      <w:tc>
        <w:tcPr>
          <w:tcW w:w="0" w:type="pct"/>
        </w:tcPr>
        <w:p w14:paraId="0293BFE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935E1A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31E8A4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5AAAE3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51BF0" w14:paraId="3795310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814C15A" w14:textId="77777777" w:rsidR="00EC379B" w:rsidRDefault="005C1FB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F4A7C7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187A16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33CC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BE9F4" w14:textId="77777777" w:rsidR="00000000" w:rsidRDefault="005C1FB7">
      <w:r>
        <w:separator/>
      </w:r>
    </w:p>
  </w:footnote>
  <w:footnote w:type="continuationSeparator" w:id="0">
    <w:p w14:paraId="70C2BEE1" w14:textId="77777777" w:rsidR="00000000" w:rsidRDefault="005C1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B246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FDB6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CDD88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226CA"/>
    <w:multiLevelType w:val="hybridMultilevel"/>
    <w:tmpl w:val="9CA6FEE2"/>
    <w:lvl w:ilvl="0" w:tplc="A202CC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58BD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9424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C497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EC33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84C9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A618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639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6271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46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52"/>
    <w:rsid w:val="00000A70"/>
    <w:rsid w:val="000032B8"/>
    <w:rsid w:val="00003B06"/>
    <w:rsid w:val="000054B9"/>
    <w:rsid w:val="00007461"/>
    <w:rsid w:val="00007848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1EDE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6CC5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200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131A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365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1FF5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1FB7"/>
    <w:rsid w:val="005C2B21"/>
    <w:rsid w:val="005C2C00"/>
    <w:rsid w:val="005C4C6F"/>
    <w:rsid w:val="005C5127"/>
    <w:rsid w:val="005C7CCB"/>
    <w:rsid w:val="005D1444"/>
    <w:rsid w:val="005D42DC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1BF0"/>
    <w:rsid w:val="00653067"/>
    <w:rsid w:val="00662B77"/>
    <w:rsid w:val="00662D0E"/>
    <w:rsid w:val="00663265"/>
    <w:rsid w:val="0066345F"/>
    <w:rsid w:val="0066485B"/>
    <w:rsid w:val="00667887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B7ED9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0B59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604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775EC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062F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01EA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42AE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543E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3642"/>
    <w:rsid w:val="00AD4497"/>
    <w:rsid w:val="00AD7780"/>
    <w:rsid w:val="00AE2263"/>
    <w:rsid w:val="00AE248E"/>
    <w:rsid w:val="00AE2D12"/>
    <w:rsid w:val="00AE2F06"/>
    <w:rsid w:val="00AE4F00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3694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4A50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33AB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5F01BAE-5A90-4606-B307-06E73E11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A36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A36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A365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3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A3652"/>
    <w:rPr>
      <w:b/>
      <w:bCs/>
    </w:rPr>
  </w:style>
  <w:style w:type="paragraph" w:styleId="Revision">
    <w:name w:val="Revision"/>
    <w:hidden/>
    <w:uiPriority w:val="99"/>
    <w:semiHidden/>
    <w:rsid w:val="009942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2383</Characters>
  <Application>Microsoft Office Word</Application>
  <DocSecurity>4</DocSecurity>
  <Lines>61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HB03989 (Committee Report (Unamended))</vt:lpstr>
    </vt:vector>
  </TitlesOfParts>
  <Company>State of Texas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22974</dc:subject>
  <dc:creator>State of Texas</dc:creator>
  <dc:description>HB 3989 by Raney-(H)Transportation</dc:description>
  <cp:lastModifiedBy>Stacey Nicchio</cp:lastModifiedBy>
  <cp:revision>2</cp:revision>
  <cp:lastPrinted>2003-11-26T17:21:00Z</cp:lastPrinted>
  <dcterms:created xsi:type="dcterms:W3CDTF">2023-04-13T20:42:00Z</dcterms:created>
  <dcterms:modified xsi:type="dcterms:W3CDTF">2023-04-13T20:42:00Z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23.101.1526</vt:lpwstr>
  </property>
</Properties>
</file>