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D153D" w14:paraId="4F8F59A7" w14:textId="77777777" w:rsidTr="00345119">
        <w:tc>
          <w:tcPr>
            <w:tcW w:w="9576" w:type="dxa"/>
            <w:noWrap/>
          </w:tcPr>
          <w:p w14:paraId="19B4FE60" w14:textId="77777777" w:rsidR="008423E4" w:rsidRPr="0022177D" w:rsidRDefault="009A477C" w:rsidP="00207134">
            <w:pPr>
              <w:pStyle w:val="Heading1"/>
            </w:pPr>
            <w:r w:rsidRPr="00631897">
              <w:t>BILL ANALYSIS</w:t>
            </w:r>
          </w:p>
        </w:tc>
      </w:tr>
    </w:tbl>
    <w:p w14:paraId="496F3F06" w14:textId="77777777" w:rsidR="008423E4" w:rsidRPr="0022177D" w:rsidRDefault="008423E4" w:rsidP="00207134">
      <w:pPr>
        <w:jc w:val="center"/>
      </w:pPr>
    </w:p>
    <w:p w14:paraId="4BD19D79" w14:textId="77777777" w:rsidR="008423E4" w:rsidRPr="00B31F0E" w:rsidRDefault="008423E4" w:rsidP="00207134"/>
    <w:p w14:paraId="4393120F" w14:textId="77777777" w:rsidR="008423E4" w:rsidRPr="00742794" w:rsidRDefault="008423E4" w:rsidP="0020713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D153D" w14:paraId="3DB123B2" w14:textId="77777777" w:rsidTr="00345119">
        <w:tc>
          <w:tcPr>
            <w:tcW w:w="9576" w:type="dxa"/>
          </w:tcPr>
          <w:p w14:paraId="7C28A0E3" w14:textId="7DCE229C" w:rsidR="008423E4" w:rsidRPr="00861995" w:rsidRDefault="009A477C" w:rsidP="00207134">
            <w:pPr>
              <w:jc w:val="right"/>
            </w:pPr>
            <w:r>
              <w:t>C.S.H.B. 3990</w:t>
            </w:r>
          </w:p>
        </w:tc>
      </w:tr>
      <w:tr w:rsidR="004D153D" w14:paraId="2703F54D" w14:textId="77777777" w:rsidTr="00345119">
        <w:tc>
          <w:tcPr>
            <w:tcW w:w="9576" w:type="dxa"/>
          </w:tcPr>
          <w:p w14:paraId="4FB327A0" w14:textId="47871671" w:rsidR="008423E4" w:rsidRPr="00861995" w:rsidRDefault="009A477C" w:rsidP="00207134">
            <w:pPr>
              <w:jc w:val="right"/>
            </w:pPr>
            <w:r>
              <w:t xml:space="preserve">By: </w:t>
            </w:r>
            <w:r w:rsidR="00B8771B">
              <w:t>Kacal</w:t>
            </w:r>
          </w:p>
        </w:tc>
      </w:tr>
      <w:tr w:rsidR="004D153D" w14:paraId="6701BBE9" w14:textId="77777777" w:rsidTr="00345119">
        <w:tc>
          <w:tcPr>
            <w:tcW w:w="9576" w:type="dxa"/>
          </w:tcPr>
          <w:p w14:paraId="5DE64C15" w14:textId="155AD2E3" w:rsidR="008423E4" w:rsidRPr="00861995" w:rsidRDefault="009A477C" w:rsidP="00207134">
            <w:pPr>
              <w:jc w:val="right"/>
            </w:pPr>
            <w:r>
              <w:t>Natural Resources</w:t>
            </w:r>
          </w:p>
        </w:tc>
      </w:tr>
      <w:tr w:rsidR="004D153D" w14:paraId="418050C0" w14:textId="77777777" w:rsidTr="00345119">
        <w:tc>
          <w:tcPr>
            <w:tcW w:w="9576" w:type="dxa"/>
          </w:tcPr>
          <w:p w14:paraId="4892C444" w14:textId="6AE4DB1D" w:rsidR="008423E4" w:rsidRDefault="009A477C" w:rsidP="00207134">
            <w:pPr>
              <w:jc w:val="right"/>
            </w:pPr>
            <w:r>
              <w:t>Committee Report (Substituted)</w:t>
            </w:r>
          </w:p>
        </w:tc>
      </w:tr>
    </w:tbl>
    <w:p w14:paraId="72A6ACBD" w14:textId="77777777" w:rsidR="008423E4" w:rsidRDefault="008423E4" w:rsidP="00207134">
      <w:pPr>
        <w:tabs>
          <w:tab w:val="right" w:pos="9360"/>
        </w:tabs>
      </w:pPr>
    </w:p>
    <w:p w14:paraId="7F3DCA70" w14:textId="77777777" w:rsidR="008423E4" w:rsidRDefault="008423E4" w:rsidP="00207134"/>
    <w:p w14:paraId="008C2D97" w14:textId="77777777" w:rsidR="008423E4" w:rsidRDefault="008423E4" w:rsidP="0020713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D153D" w14:paraId="2DD3483D" w14:textId="77777777" w:rsidTr="00345119">
        <w:tc>
          <w:tcPr>
            <w:tcW w:w="9576" w:type="dxa"/>
          </w:tcPr>
          <w:p w14:paraId="1CBDB9EC" w14:textId="77777777" w:rsidR="008423E4" w:rsidRPr="00A8133F" w:rsidRDefault="009A477C" w:rsidP="0020713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59251D3" w14:textId="77777777" w:rsidR="008423E4" w:rsidRDefault="008423E4" w:rsidP="00207134"/>
          <w:p w14:paraId="4959EEBF" w14:textId="331ABBB7" w:rsidR="008423E4" w:rsidRDefault="009A477C" w:rsidP="0020713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Groundwater and surface water are connected in varying degrees across the state. However, the significance of this </w:t>
            </w:r>
            <w:r>
              <w:t>connection is highlighted in the 2016 Texas Aquifer</w:t>
            </w:r>
            <w:r w:rsidR="00FB2AF9">
              <w:t>s</w:t>
            </w:r>
            <w:r>
              <w:t xml:space="preserve"> Study by the Texas Water Development Board (TWDB), which determined that the estimated average flow from major and minor aquifers to surface water is about 9.3 million acre-feet, or about </w:t>
            </w:r>
            <w:r w:rsidR="00065AF2">
              <w:t>one</w:t>
            </w:r>
            <w:r w:rsidR="007648A1">
              <w:t>-</w:t>
            </w:r>
            <w:r w:rsidR="00065AF2">
              <w:t>third</w:t>
            </w:r>
            <w:r>
              <w:t xml:space="preserve"> of th</w:t>
            </w:r>
            <w:r>
              <w:t xml:space="preserve">e </w:t>
            </w:r>
            <w:r w:rsidR="00FB2AF9">
              <w:t xml:space="preserve">surface </w:t>
            </w:r>
            <w:r>
              <w:t xml:space="preserve">water flow in Texas. </w:t>
            </w:r>
            <w:r w:rsidR="00FB2AF9">
              <w:t>C.S.</w:t>
            </w:r>
            <w:r>
              <w:t>H</w:t>
            </w:r>
            <w:r w:rsidR="00FB2AF9">
              <w:t>.</w:t>
            </w:r>
            <w:r>
              <w:t>B</w:t>
            </w:r>
            <w:r w:rsidR="00FB2AF9">
              <w:t>.</w:t>
            </w:r>
            <w:r w:rsidR="000E4F82">
              <w:t> </w:t>
            </w:r>
            <w:r>
              <w:t xml:space="preserve">3990 </w:t>
            </w:r>
            <w:r w:rsidR="00FB2AF9">
              <w:t>seeks to</w:t>
            </w:r>
            <w:r>
              <w:t xml:space="preserve"> require </w:t>
            </w:r>
            <w:r w:rsidR="00EB25E8">
              <w:t xml:space="preserve">the </w:t>
            </w:r>
            <w:r>
              <w:t xml:space="preserve">TWDB, in collaboration with </w:t>
            </w:r>
            <w:r w:rsidR="00FB2AF9">
              <w:t>the Texas Commission on Environmental Quality</w:t>
            </w:r>
            <w:r>
              <w:t>, to identify areas of the state where there is a strong degree of surface water and groundwater interaction and wher</w:t>
            </w:r>
            <w:r>
              <w:t>e data is lacking and models are inadequate</w:t>
            </w:r>
            <w:r w:rsidR="00DD1D2F">
              <w:t xml:space="preserve"> and</w:t>
            </w:r>
            <w:r w:rsidR="00FB2AF9">
              <w:t xml:space="preserve"> </w:t>
            </w:r>
            <w:r>
              <w:t xml:space="preserve">to prioritize these areas for increased data collection and modeling updates. </w:t>
            </w:r>
            <w:r w:rsidR="00DD1D2F">
              <w:t xml:space="preserve">The bill </w:t>
            </w:r>
            <w:r w:rsidR="00FB2AF9">
              <w:t>provides for TWDB</w:t>
            </w:r>
            <w:r>
              <w:t xml:space="preserve"> collaborat</w:t>
            </w:r>
            <w:r w:rsidR="00FB2AF9">
              <w:t>ion</w:t>
            </w:r>
            <w:r>
              <w:t xml:space="preserve"> with groundwater conservation districts, river authorities, academic institutions, govern</w:t>
            </w:r>
            <w:r>
              <w:t>mental entities</w:t>
            </w:r>
            <w:r w:rsidR="00ED7049">
              <w:t>, and institution</w:t>
            </w:r>
            <w:r w:rsidR="007648A1">
              <w:t>s</w:t>
            </w:r>
            <w:r w:rsidR="00ED7049">
              <w:t xml:space="preserve"> of higher education</w:t>
            </w:r>
            <w:r>
              <w:t xml:space="preserve"> </w:t>
            </w:r>
            <w:r w:rsidR="0036036B">
              <w:t>in compiling and reviewing applicable data and analyses</w:t>
            </w:r>
            <w:r>
              <w:t>.</w:t>
            </w:r>
          </w:p>
          <w:p w14:paraId="1A28E483" w14:textId="77777777" w:rsidR="008423E4" w:rsidRPr="00E26B13" w:rsidRDefault="008423E4" w:rsidP="00207134">
            <w:pPr>
              <w:rPr>
                <w:b/>
              </w:rPr>
            </w:pPr>
          </w:p>
        </w:tc>
      </w:tr>
      <w:tr w:rsidR="004D153D" w14:paraId="3CBC2ED3" w14:textId="77777777" w:rsidTr="00345119">
        <w:tc>
          <w:tcPr>
            <w:tcW w:w="9576" w:type="dxa"/>
          </w:tcPr>
          <w:p w14:paraId="1D870D0D" w14:textId="77777777" w:rsidR="0017725B" w:rsidRDefault="009A477C" w:rsidP="0020713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10C6ABC" w14:textId="77777777" w:rsidR="0017725B" w:rsidRDefault="0017725B" w:rsidP="00207134">
            <w:pPr>
              <w:rPr>
                <w:b/>
                <w:u w:val="single"/>
              </w:rPr>
            </w:pPr>
          </w:p>
          <w:p w14:paraId="1E2AF4AF" w14:textId="70F9952B" w:rsidR="0014117B" w:rsidRPr="0014117B" w:rsidRDefault="009A477C" w:rsidP="00207134">
            <w:pPr>
              <w:jc w:val="both"/>
            </w:pPr>
            <w:r>
              <w:t xml:space="preserve">It is the committee's opinion that this bill does not expressly create a criminal offense, increase the </w:t>
            </w:r>
            <w:r>
              <w:t>punishment for an existing criminal offense or category of offenses, or change the eligibility of a person for community supervision, parole, or mandatory supervision.</w:t>
            </w:r>
          </w:p>
          <w:p w14:paraId="073CA615" w14:textId="77777777" w:rsidR="0017725B" w:rsidRPr="0017725B" w:rsidRDefault="0017725B" w:rsidP="00207134">
            <w:pPr>
              <w:rPr>
                <w:b/>
                <w:u w:val="single"/>
              </w:rPr>
            </w:pPr>
          </w:p>
        </w:tc>
      </w:tr>
      <w:tr w:rsidR="004D153D" w14:paraId="54C2F3D4" w14:textId="77777777" w:rsidTr="00345119">
        <w:tc>
          <w:tcPr>
            <w:tcW w:w="9576" w:type="dxa"/>
          </w:tcPr>
          <w:p w14:paraId="1A5D1B2A" w14:textId="77777777" w:rsidR="008423E4" w:rsidRPr="00A8133F" w:rsidRDefault="009A477C" w:rsidP="0020713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0E7CAD1" w14:textId="77777777" w:rsidR="008423E4" w:rsidRDefault="008423E4" w:rsidP="00207134"/>
          <w:p w14:paraId="248F3C30" w14:textId="2604BE1A" w:rsidR="0014117B" w:rsidRDefault="009A477C" w:rsidP="0020713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</w:t>
            </w:r>
            <w:r>
              <w:t xml:space="preserve"> grant any additional rulemaking authority to a state officer, department, agency, or institution.</w:t>
            </w:r>
          </w:p>
          <w:p w14:paraId="0D42BFC0" w14:textId="77777777" w:rsidR="008423E4" w:rsidRPr="00E21FDC" w:rsidRDefault="008423E4" w:rsidP="00207134">
            <w:pPr>
              <w:rPr>
                <w:b/>
              </w:rPr>
            </w:pPr>
          </w:p>
        </w:tc>
      </w:tr>
      <w:tr w:rsidR="004D153D" w14:paraId="6EBCC23A" w14:textId="77777777" w:rsidTr="00345119">
        <w:tc>
          <w:tcPr>
            <w:tcW w:w="9576" w:type="dxa"/>
          </w:tcPr>
          <w:p w14:paraId="5610E601" w14:textId="77777777" w:rsidR="008423E4" w:rsidRPr="00A8133F" w:rsidRDefault="009A477C" w:rsidP="0020713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15493F8" w14:textId="77777777" w:rsidR="008423E4" w:rsidRDefault="008423E4" w:rsidP="00207134"/>
          <w:p w14:paraId="04BD889C" w14:textId="0B16DD69" w:rsidR="009C36CD" w:rsidRDefault="009A477C" w:rsidP="0020713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767EB4">
              <w:t>H.B. 3990</w:t>
            </w:r>
            <w:r w:rsidR="00B8219F">
              <w:t xml:space="preserve"> requires </w:t>
            </w:r>
            <w:r w:rsidR="00DA7164" w:rsidRPr="00DA7164">
              <w:t>the Texas Water Development Board</w:t>
            </w:r>
            <w:r w:rsidR="006039C3">
              <w:t xml:space="preserve"> </w:t>
            </w:r>
            <w:r w:rsidR="006039C3" w:rsidRPr="006039C3">
              <w:t>(TWDB)</w:t>
            </w:r>
            <w:r w:rsidR="00DA7164">
              <w:t xml:space="preserve">, in </w:t>
            </w:r>
            <w:r w:rsidR="000B67AF" w:rsidRPr="000B67AF">
              <w:t>cooperation with the</w:t>
            </w:r>
            <w:r w:rsidR="000B67AF">
              <w:t xml:space="preserve"> </w:t>
            </w:r>
            <w:r w:rsidR="000B67AF" w:rsidRPr="000B67AF">
              <w:t>Texas Commission on Environmental Quality</w:t>
            </w:r>
            <w:r w:rsidR="000B67AF">
              <w:t xml:space="preserve"> </w:t>
            </w:r>
            <w:r w:rsidR="006039C3" w:rsidRPr="006039C3">
              <w:t>(TCEQ)</w:t>
            </w:r>
            <w:r w:rsidR="00EE2E3C">
              <w:t>,</w:t>
            </w:r>
            <w:r w:rsidR="006039C3">
              <w:t xml:space="preserve"> </w:t>
            </w:r>
            <w:r w:rsidR="000B67AF">
              <w:t xml:space="preserve">to conduct a study </w:t>
            </w:r>
            <w:r w:rsidR="00EE2E3C">
              <w:t xml:space="preserve">to </w:t>
            </w:r>
            <w:r w:rsidR="006039C3">
              <w:t>do</w:t>
            </w:r>
            <w:r w:rsidR="000B67AF">
              <w:t xml:space="preserve"> the following:</w:t>
            </w:r>
          </w:p>
          <w:p w14:paraId="7B303685" w14:textId="607B61BB" w:rsidR="000B67AF" w:rsidRDefault="009A477C" w:rsidP="00207134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compile and review data and analyses from existing studies conducted on the interaction between surface water and groundwater in </w:t>
            </w:r>
            <w:r w:rsidR="0014117B">
              <w:t>Texas</w:t>
            </w:r>
            <w:r>
              <w:t>;</w:t>
            </w:r>
          </w:p>
          <w:p w14:paraId="12613BDC" w14:textId="78611B6C" w:rsidR="00EC71D5" w:rsidRDefault="009A477C" w:rsidP="00207134">
            <w:pPr>
              <w:pStyle w:val="Header"/>
              <w:numPr>
                <w:ilvl w:val="0"/>
                <w:numId w:val="1"/>
              </w:numPr>
              <w:jc w:val="both"/>
            </w:pPr>
            <w:r w:rsidRPr="00EC71D5">
              <w:t xml:space="preserve">identify areas of </w:t>
            </w:r>
            <w:r w:rsidR="009B53DA">
              <w:t>the state</w:t>
            </w:r>
            <w:r w:rsidRPr="00EC71D5">
              <w:t xml:space="preserve"> where there is a strong degree of interaction betwee</w:t>
            </w:r>
            <w:r w:rsidRPr="00EC71D5">
              <w:t>n surface water and groundwater</w:t>
            </w:r>
            <w:r>
              <w:t>;</w:t>
            </w:r>
          </w:p>
          <w:p w14:paraId="705AE7B8" w14:textId="2118E04E" w:rsidR="000B67AF" w:rsidRDefault="009A477C" w:rsidP="00207134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identify areas of </w:t>
            </w:r>
            <w:r w:rsidR="00EE2E3C">
              <w:t>the state</w:t>
            </w:r>
            <w:r>
              <w:t xml:space="preserve"> where there is a lack of data </w:t>
            </w:r>
            <w:r w:rsidR="00EC71D5">
              <w:t xml:space="preserve">regarding </w:t>
            </w:r>
            <w:r>
              <w:t xml:space="preserve">or </w:t>
            </w:r>
            <w:r w:rsidR="009B53DA">
              <w:t xml:space="preserve">where </w:t>
            </w:r>
            <w:r w:rsidR="00EE2E3C">
              <w:t xml:space="preserve">there </w:t>
            </w:r>
            <w:r>
              <w:t>are inadequate models on the interaction between surface water and groundwater; and</w:t>
            </w:r>
          </w:p>
          <w:p w14:paraId="2C5CD347" w14:textId="7CF525AE" w:rsidR="00EC71D5" w:rsidRDefault="009A477C" w:rsidP="00207134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in areas with a strong degree of interaction </w:t>
            </w:r>
            <w:r>
              <w:t>between surface water and groundwater and where available data are lacking or models are inadequate, determine a method to prioritize</w:t>
            </w:r>
            <w:r w:rsidR="009B53DA">
              <w:t xml:space="preserve"> the following</w:t>
            </w:r>
            <w:r>
              <w:t>:</w:t>
            </w:r>
          </w:p>
          <w:p w14:paraId="002212F4" w14:textId="765A7CD2" w:rsidR="00EC71D5" w:rsidRDefault="009A477C" w:rsidP="00207134">
            <w:pPr>
              <w:pStyle w:val="Header"/>
              <w:numPr>
                <w:ilvl w:val="1"/>
                <w:numId w:val="1"/>
              </w:numPr>
              <w:jc w:val="both"/>
            </w:pPr>
            <w:r>
              <w:t xml:space="preserve">additional data collection, including streamflow gain-loss studies and long-term monitoring of </w:t>
            </w:r>
            <w:r w:rsidR="00B44950">
              <w:t>spring flows</w:t>
            </w:r>
            <w:r>
              <w:t>; and</w:t>
            </w:r>
          </w:p>
          <w:p w14:paraId="327A7872" w14:textId="0EA151B5" w:rsidR="000B67AF" w:rsidRDefault="009A477C" w:rsidP="00207134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updates of models and improvements to the modeling of the interaction between surface water and groundwater.</w:t>
            </w:r>
          </w:p>
          <w:p w14:paraId="52A6D640" w14:textId="57B2C496" w:rsidR="000B67AF" w:rsidRDefault="009A477C" w:rsidP="0020713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authorizes the </w:t>
            </w:r>
            <w:r w:rsidR="006039C3" w:rsidRPr="006039C3">
              <w:t>TWDB</w:t>
            </w:r>
            <w:r w:rsidR="006039C3" w:rsidRPr="000B67AF">
              <w:t xml:space="preserve"> </w:t>
            </w:r>
            <w:r w:rsidRPr="000B67AF">
              <w:t xml:space="preserve">and the </w:t>
            </w:r>
            <w:r w:rsidR="006039C3" w:rsidRPr="006039C3">
              <w:t>TCEQ</w:t>
            </w:r>
            <w:r w:rsidR="006039C3">
              <w:t xml:space="preserve"> </w:t>
            </w:r>
            <w:r>
              <w:t xml:space="preserve">to </w:t>
            </w:r>
            <w:r w:rsidRPr="000B67AF">
              <w:t>coordinate with groundwater conservation districts, river authorities, governmental entities, an</w:t>
            </w:r>
            <w:r w:rsidRPr="000B67AF">
              <w:t xml:space="preserve">d institutions of higher education in </w:t>
            </w:r>
            <w:r w:rsidR="009B53DA">
              <w:t>compiling and reviewing</w:t>
            </w:r>
            <w:r w:rsidR="009B53DA" w:rsidRPr="000B67AF">
              <w:t xml:space="preserve"> </w:t>
            </w:r>
            <w:r w:rsidRPr="000B67AF">
              <w:t xml:space="preserve">existing data and analyses on the interaction between surface water and groundwater in </w:t>
            </w:r>
            <w:r>
              <w:t>Texas</w:t>
            </w:r>
            <w:r w:rsidRPr="000B67AF">
              <w:t>.</w:t>
            </w:r>
          </w:p>
          <w:p w14:paraId="07DBC5AE" w14:textId="153B6241" w:rsidR="000B67AF" w:rsidRDefault="000B67AF" w:rsidP="0020713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2351A60" w14:textId="7076A18E" w:rsidR="000B67AF" w:rsidRPr="009C36CD" w:rsidRDefault="009A477C" w:rsidP="0020713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3990 requires the </w:t>
            </w:r>
            <w:r w:rsidR="006039C3" w:rsidRPr="006039C3">
              <w:t>TWDB</w:t>
            </w:r>
            <w:r w:rsidR="006039C3">
              <w:t xml:space="preserve"> </w:t>
            </w:r>
            <w:r>
              <w:t xml:space="preserve">and </w:t>
            </w:r>
            <w:r w:rsidR="00917CB1">
              <w:t xml:space="preserve">the </w:t>
            </w:r>
            <w:r w:rsidR="006039C3" w:rsidRPr="006039C3">
              <w:t>TCEQ</w:t>
            </w:r>
            <w:r w:rsidR="00917CB1">
              <w:t>, not later than December 1, 2024,</w:t>
            </w:r>
            <w:r w:rsidR="006039C3">
              <w:t xml:space="preserve"> to deliver </w:t>
            </w:r>
            <w:r w:rsidR="006039C3" w:rsidRPr="006039C3">
              <w:t>to the governor, the lieutenant governor, the speaker of the house of representatives, and each member of the legislature</w:t>
            </w:r>
            <w:r w:rsidR="00F43A68">
              <w:t xml:space="preserve"> </w:t>
            </w:r>
            <w:r w:rsidR="006039C3" w:rsidRPr="006039C3">
              <w:t xml:space="preserve">a report summarizing the findings and recommendations of the TWDB and </w:t>
            </w:r>
            <w:r w:rsidR="00917CB1">
              <w:t xml:space="preserve">the </w:t>
            </w:r>
            <w:r w:rsidR="006039C3" w:rsidRPr="006039C3">
              <w:t>TCEQ based on the study</w:t>
            </w:r>
            <w:r w:rsidR="006039C3">
              <w:t xml:space="preserve">. The bill's provisions expire </w:t>
            </w:r>
            <w:r w:rsidR="006039C3" w:rsidRPr="006039C3">
              <w:t>January 1, 2025.</w:t>
            </w:r>
          </w:p>
          <w:p w14:paraId="762E7148" w14:textId="77777777" w:rsidR="008423E4" w:rsidRPr="00835628" w:rsidRDefault="008423E4" w:rsidP="00207134">
            <w:pPr>
              <w:rPr>
                <w:b/>
              </w:rPr>
            </w:pPr>
          </w:p>
        </w:tc>
      </w:tr>
      <w:tr w:rsidR="004D153D" w14:paraId="16265923" w14:textId="77777777" w:rsidTr="00345119">
        <w:tc>
          <w:tcPr>
            <w:tcW w:w="9576" w:type="dxa"/>
          </w:tcPr>
          <w:p w14:paraId="5A741AA3" w14:textId="77777777" w:rsidR="008423E4" w:rsidRPr="00A8133F" w:rsidRDefault="009A477C" w:rsidP="0020713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32ECAE3" w14:textId="77777777" w:rsidR="008423E4" w:rsidRDefault="008423E4" w:rsidP="00207134"/>
          <w:p w14:paraId="252A40FB" w14:textId="4C0D59A4" w:rsidR="008423E4" w:rsidRPr="003624F2" w:rsidRDefault="009A477C" w:rsidP="0020713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610BA0D8" w14:textId="77777777" w:rsidR="008423E4" w:rsidRPr="00233FDB" w:rsidRDefault="008423E4" w:rsidP="00207134">
            <w:pPr>
              <w:rPr>
                <w:b/>
              </w:rPr>
            </w:pPr>
          </w:p>
        </w:tc>
      </w:tr>
      <w:tr w:rsidR="004D153D" w14:paraId="47C9B1F5" w14:textId="77777777" w:rsidTr="00345119">
        <w:tc>
          <w:tcPr>
            <w:tcW w:w="9576" w:type="dxa"/>
          </w:tcPr>
          <w:p w14:paraId="06068823" w14:textId="77777777" w:rsidR="00B8771B" w:rsidRDefault="009A477C" w:rsidP="00207134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7AC75E81" w14:textId="77777777" w:rsidR="004B5ACE" w:rsidRDefault="004B5ACE" w:rsidP="00207134">
            <w:pPr>
              <w:jc w:val="both"/>
            </w:pPr>
          </w:p>
          <w:p w14:paraId="1E5EBE6E" w14:textId="3CB5438E" w:rsidR="001D7025" w:rsidRDefault="009A477C" w:rsidP="00207134">
            <w:pPr>
              <w:jc w:val="both"/>
            </w:pPr>
            <w:r>
              <w:t xml:space="preserve">While C.S.H.B. 3990 may differ from the introduced in minor or nonsubstantive ways, the following </w:t>
            </w:r>
            <w:r>
              <w:t>summarizes the substantial differences between the introduced and committee substitute versions of the bill.</w:t>
            </w:r>
          </w:p>
          <w:p w14:paraId="75542A6A" w14:textId="77777777" w:rsidR="004B5ACE" w:rsidRDefault="004B5ACE" w:rsidP="00207134">
            <w:pPr>
              <w:jc w:val="both"/>
            </w:pPr>
          </w:p>
          <w:p w14:paraId="38EC20F7" w14:textId="48BBC7F0" w:rsidR="004B5ACE" w:rsidRDefault="009A477C" w:rsidP="00207134">
            <w:pPr>
              <w:jc w:val="both"/>
            </w:pPr>
            <w:r>
              <w:t xml:space="preserve">The substitute </w:t>
            </w:r>
            <w:r w:rsidR="00E02233">
              <w:t xml:space="preserve">revises </w:t>
            </w:r>
            <w:r>
              <w:t xml:space="preserve">provisions in the introduced regarding the study conducted by </w:t>
            </w:r>
            <w:r w:rsidRPr="0049739C">
              <w:t>the TWDB</w:t>
            </w:r>
            <w:r>
              <w:t xml:space="preserve">, in cooperation with </w:t>
            </w:r>
            <w:r w:rsidRPr="0049739C">
              <w:t>the TCEQ</w:t>
            </w:r>
            <w:r>
              <w:t>, as follows:</w:t>
            </w:r>
          </w:p>
          <w:p w14:paraId="55B97254" w14:textId="5EB411A1" w:rsidR="004B5ACE" w:rsidRDefault="009A477C" w:rsidP="00207134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clarifies</w:t>
            </w:r>
            <w:r>
              <w:t xml:space="preserve"> that the study involves compiling and reviewing data and analyses from existing studies;</w:t>
            </w:r>
            <w:r w:rsidR="000E4F82">
              <w:t xml:space="preserve"> and</w:t>
            </w:r>
          </w:p>
          <w:p w14:paraId="4663EF1C" w14:textId="17B03B3E" w:rsidR="004B5ACE" w:rsidRDefault="009A477C" w:rsidP="00207134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 xml:space="preserve">requires the </w:t>
            </w:r>
            <w:r w:rsidR="001D7025">
              <w:t xml:space="preserve">study </w:t>
            </w:r>
            <w:r>
              <w:t xml:space="preserve">to </w:t>
            </w:r>
            <w:r w:rsidRPr="00EF3E48">
              <w:t xml:space="preserve">identify areas of </w:t>
            </w:r>
            <w:r w:rsidR="001D7025">
              <w:t>the state</w:t>
            </w:r>
            <w:r w:rsidR="001D7025" w:rsidRPr="00EF3E48">
              <w:t xml:space="preserve"> </w:t>
            </w:r>
            <w:r w:rsidRPr="00EF3E48">
              <w:t>where there is a strong degree of interaction between surface water and groundwater</w:t>
            </w:r>
            <w:r w:rsidR="000E4F82">
              <w:t>.</w:t>
            </w:r>
            <w:r w:rsidR="008C0102">
              <w:t xml:space="preserve"> </w:t>
            </w:r>
          </w:p>
          <w:p w14:paraId="64D406E1" w14:textId="16721990" w:rsidR="00DD1893" w:rsidRDefault="009A477C" w:rsidP="00207134">
            <w:pPr>
              <w:jc w:val="both"/>
            </w:pPr>
            <w:r>
              <w:t>Additionally, t</w:t>
            </w:r>
            <w:r w:rsidR="00CB7194">
              <w:t xml:space="preserve">he introduced required the study to </w:t>
            </w:r>
            <w:r w:rsidR="00CB7194" w:rsidRPr="00CB7194">
              <w:t>determine a method to prioritize the development of enhanced modeling techniques to collect more data in areas with a strong degree of surface water and groundwater interaction, including conducting streamflow gain-loss studies where adequate data is lacking and increasing long-term monitoring of springflows</w:t>
            </w:r>
            <w:r w:rsidR="00CB7194">
              <w:t>. The substitute requires the study instead to determine a method to prioritize</w:t>
            </w:r>
            <w:r>
              <w:t>,</w:t>
            </w:r>
            <w:r w:rsidR="00CB7194">
              <w:t xml:space="preserve"> in those areas, and in areas where available data are lacking or models are inadequate, </w:t>
            </w:r>
            <w:r>
              <w:t>the follo</w:t>
            </w:r>
            <w:r>
              <w:t>wing:</w:t>
            </w:r>
          </w:p>
          <w:p w14:paraId="628DB33A" w14:textId="77777777" w:rsidR="00DD1893" w:rsidRDefault="009A477C" w:rsidP="00207134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>
              <w:t>additional data collection, including streamflow gain-loss studies and long-term monitoring of springflows; and</w:t>
            </w:r>
          </w:p>
          <w:p w14:paraId="02D8E2E9" w14:textId="31E451A7" w:rsidR="004B5ACE" w:rsidRDefault="009A477C" w:rsidP="00207134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>
              <w:t xml:space="preserve">updates of models and improvements to the modeling of the interaction between </w:t>
            </w:r>
            <w:r w:rsidR="00DD1893">
              <w:t>surface</w:t>
            </w:r>
            <w:r>
              <w:t xml:space="preserve"> water and groundwater</w:t>
            </w:r>
            <w:r w:rsidR="00DD1893">
              <w:t>.</w:t>
            </w:r>
          </w:p>
          <w:p w14:paraId="75154789" w14:textId="77777777" w:rsidR="008C0102" w:rsidRDefault="008C0102" w:rsidP="00207134">
            <w:pPr>
              <w:jc w:val="both"/>
            </w:pPr>
          </w:p>
          <w:p w14:paraId="3A722386" w14:textId="1E429328" w:rsidR="00457A2C" w:rsidRPr="004B5ACE" w:rsidRDefault="009A477C" w:rsidP="00207134">
            <w:pPr>
              <w:jc w:val="both"/>
            </w:pPr>
            <w:r>
              <w:t xml:space="preserve">The </w:t>
            </w:r>
            <w:r w:rsidR="00E02233">
              <w:t>introduced</w:t>
            </w:r>
            <w:r w:rsidR="004B5ACE">
              <w:t xml:space="preserve"> authoriz</w:t>
            </w:r>
            <w:r w:rsidR="00E02233">
              <w:t>ed</w:t>
            </w:r>
            <w:r>
              <w:t xml:space="preserve"> </w:t>
            </w:r>
            <w:r w:rsidR="004B5ACE" w:rsidRPr="000C051B">
              <w:t>the TWDB and the TCEQ</w:t>
            </w:r>
            <w:r w:rsidR="004B5ACE">
              <w:t xml:space="preserve"> to coordinate with </w:t>
            </w:r>
            <w:r w:rsidR="00E02233">
              <w:t xml:space="preserve">groundwater conservation districts, </w:t>
            </w:r>
            <w:r w:rsidR="004B5ACE">
              <w:t>groundwater management areas</w:t>
            </w:r>
            <w:r w:rsidR="00E02233">
              <w:t>, river authorities, governmental entities, and institutions of higher education</w:t>
            </w:r>
            <w:r>
              <w:t xml:space="preserve"> in c</w:t>
            </w:r>
            <w:r w:rsidR="00E02233">
              <w:t xml:space="preserve">ollecting </w:t>
            </w:r>
            <w:r>
              <w:t>existing data and analyses</w:t>
            </w:r>
            <w:r w:rsidR="00E02233">
              <w:t xml:space="preserve"> on the interaction between surface water and groundwater in Texas</w:t>
            </w:r>
            <w:r w:rsidR="004B5ACE">
              <w:t>.</w:t>
            </w:r>
            <w:r w:rsidR="00E02233">
              <w:t xml:space="preserve"> The substitute authorizes the TWDB and the TCEQ </w:t>
            </w:r>
            <w:r w:rsidR="00CB7194">
              <w:t xml:space="preserve">to </w:t>
            </w:r>
            <w:r w:rsidR="00E02233">
              <w:t xml:space="preserve">coordinate </w:t>
            </w:r>
            <w:r w:rsidR="00CB7194">
              <w:t xml:space="preserve">instead </w:t>
            </w:r>
            <w:r w:rsidR="00E02233">
              <w:t>with</w:t>
            </w:r>
            <w:r w:rsidR="00CB7194">
              <w:t xml:space="preserve"> only those</w:t>
            </w:r>
            <w:r w:rsidR="00E02233">
              <w:t xml:space="preserve"> districts, authorities, entities</w:t>
            </w:r>
            <w:r w:rsidR="00CB7194">
              <w:t>, and institutions in compiling and reviewing existing data and analyses on that interaction</w:t>
            </w:r>
            <w:r w:rsidR="00E2712A">
              <w:t>, not the groundwater management areas</w:t>
            </w:r>
            <w:r w:rsidR="00CB7194">
              <w:t>.</w:t>
            </w:r>
          </w:p>
        </w:tc>
      </w:tr>
      <w:tr w:rsidR="004D153D" w14:paraId="128860DC" w14:textId="77777777" w:rsidTr="00345119">
        <w:tc>
          <w:tcPr>
            <w:tcW w:w="9576" w:type="dxa"/>
          </w:tcPr>
          <w:p w14:paraId="2B3E5D27" w14:textId="77777777" w:rsidR="00543BDA" w:rsidRPr="009C1E9A" w:rsidRDefault="00543BDA" w:rsidP="00207134">
            <w:pPr>
              <w:rPr>
                <w:b/>
                <w:u w:val="single"/>
              </w:rPr>
            </w:pPr>
          </w:p>
        </w:tc>
      </w:tr>
      <w:tr w:rsidR="004D153D" w14:paraId="4E8DDBE0" w14:textId="77777777" w:rsidTr="00345119">
        <w:tc>
          <w:tcPr>
            <w:tcW w:w="9576" w:type="dxa"/>
          </w:tcPr>
          <w:p w14:paraId="204D3F9B" w14:textId="77777777" w:rsidR="00543BDA" w:rsidRPr="00B8771B" w:rsidRDefault="00543BDA" w:rsidP="00207134">
            <w:pPr>
              <w:jc w:val="both"/>
            </w:pPr>
          </w:p>
        </w:tc>
      </w:tr>
      <w:tr w:rsidR="004D153D" w14:paraId="3E58B648" w14:textId="77777777" w:rsidTr="00345119">
        <w:tc>
          <w:tcPr>
            <w:tcW w:w="9576" w:type="dxa"/>
          </w:tcPr>
          <w:p w14:paraId="0B1BA369" w14:textId="77777777" w:rsidR="00B8771B" w:rsidRPr="00543BDA" w:rsidRDefault="00B8771B" w:rsidP="00207134">
            <w:pPr>
              <w:jc w:val="both"/>
            </w:pPr>
          </w:p>
        </w:tc>
      </w:tr>
      <w:tr w:rsidR="004D153D" w14:paraId="4A6F2F3C" w14:textId="77777777" w:rsidTr="00345119">
        <w:tc>
          <w:tcPr>
            <w:tcW w:w="9576" w:type="dxa"/>
          </w:tcPr>
          <w:p w14:paraId="2F9035DD" w14:textId="77777777" w:rsidR="00B8771B" w:rsidRPr="00543BDA" w:rsidRDefault="00B8771B" w:rsidP="00207134">
            <w:pPr>
              <w:jc w:val="both"/>
            </w:pPr>
          </w:p>
        </w:tc>
      </w:tr>
      <w:tr w:rsidR="004D153D" w14:paraId="6E2EC51D" w14:textId="77777777" w:rsidTr="00345119">
        <w:tc>
          <w:tcPr>
            <w:tcW w:w="9576" w:type="dxa"/>
          </w:tcPr>
          <w:p w14:paraId="1100FE77" w14:textId="77777777" w:rsidR="00B8771B" w:rsidRPr="00543BDA" w:rsidRDefault="00B8771B" w:rsidP="00207134">
            <w:pPr>
              <w:jc w:val="both"/>
            </w:pPr>
          </w:p>
        </w:tc>
      </w:tr>
    </w:tbl>
    <w:p w14:paraId="58363EF3" w14:textId="77777777" w:rsidR="008423E4" w:rsidRPr="00BE0E75" w:rsidRDefault="008423E4" w:rsidP="00207134">
      <w:pPr>
        <w:jc w:val="both"/>
        <w:rPr>
          <w:rFonts w:ascii="Arial" w:hAnsi="Arial"/>
          <w:sz w:val="16"/>
          <w:szCs w:val="16"/>
        </w:rPr>
      </w:pPr>
    </w:p>
    <w:p w14:paraId="3419C2B3" w14:textId="77777777" w:rsidR="004108C3" w:rsidRPr="008423E4" w:rsidRDefault="004108C3" w:rsidP="0020713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F0B0D" w14:textId="77777777" w:rsidR="00000000" w:rsidRDefault="009A477C">
      <w:r>
        <w:separator/>
      </w:r>
    </w:p>
  </w:endnote>
  <w:endnote w:type="continuationSeparator" w:id="0">
    <w:p w14:paraId="4B99059D" w14:textId="77777777" w:rsidR="00000000" w:rsidRDefault="009A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C41E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D153D" w14:paraId="16E2B7A0" w14:textId="77777777" w:rsidTr="009C1E9A">
      <w:trPr>
        <w:cantSplit/>
      </w:trPr>
      <w:tc>
        <w:tcPr>
          <w:tcW w:w="0" w:type="pct"/>
        </w:tcPr>
        <w:p w14:paraId="57674AB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0AB380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3908E8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BB896C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37E147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D153D" w14:paraId="21642EEC" w14:textId="77777777" w:rsidTr="009C1E9A">
      <w:trPr>
        <w:cantSplit/>
      </w:trPr>
      <w:tc>
        <w:tcPr>
          <w:tcW w:w="0" w:type="pct"/>
        </w:tcPr>
        <w:p w14:paraId="12AB2BA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BB74850" w14:textId="0C0850CE" w:rsidR="00EC379B" w:rsidRPr="009C1E9A" w:rsidRDefault="009A477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22476-D</w:t>
          </w:r>
        </w:p>
      </w:tc>
      <w:tc>
        <w:tcPr>
          <w:tcW w:w="2453" w:type="pct"/>
        </w:tcPr>
        <w:p w14:paraId="515E154E" w14:textId="5EDD8460" w:rsidR="00EC379B" w:rsidRDefault="009A477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C0A94">
            <w:t>23.97.250</w:t>
          </w:r>
          <w:r>
            <w:fldChar w:fldCharType="end"/>
          </w:r>
        </w:p>
      </w:tc>
    </w:tr>
    <w:tr w:rsidR="004D153D" w14:paraId="405C0AFD" w14:textId="77777777" w:rsidTr="009C1E9A">
      <w:trPr>
        <w:cantSplit/>
      </w:trPr>
      <w:tc>
        <w:tcPr>
          <w:tcW w:w="0" w:type="pct"/>
        </w:tcPr>
        <w:p w14:paraId="1B68E88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2AE5ABE" w14:textId="78B9BB49" w:rsidR="00EC379B" w:rsidRPr="009C1E9A" w:rsidRDefault="009A477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19965</w:t>
          </w:r>
        </w:p>
      </w:tc>
      <w:tc>
        <w:tcPr>
          <w:tcW w:w="2453" w:type="pct"/>
        </w:tcPr>
        <w:p w14:paraId="15DBE59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004B9E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D153D" w14:paraId="2A41C59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61E575D" w14:textId="77777777" w:rsidR="00EC379B" w:rsidRDefault="009A477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50A614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847117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3EC4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CF7C3" w14:textId="77777777" w:rsidR="00000000" w:rsidRDefault="009A477C">
      <w:r>
        <w:separator/>
      </w:r>
    </w:p>
  </w:footnote>
  <w:footnote w:type="continuationSeparator" w:id="0">
    <w:p w14:paraId="31749AD7" w14:textId="77777777" w:rsidR="00000000" w:rsidRDefault="009A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63F9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5B19A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D639D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467B8"/>
    <w:multiLevelType w:val="hybridMultilevel"/>
    <w:tmpl w:val="1BFA8F3C"/>
    <w:lvl w:ilvl="0" w:tplc="046616B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8716FBD6" w:tentative="1">
      <w:start w:val="1"/>
      <w:numFmt w:val="lowerLetter"/>
      <w:lvlText w:val="%2."/>
      <w:lvlJc w:val="left"/>
      <w:pPr>
        <w:ind w:left="1440" w:hanging="360"/>
      </w:pPr>
    </w:lvl>
    <w:lvl w:ilvl="2" w:tplc="FCDE8D5E" w:tentative="1">
      <w:start w:val="1"/>
      <w:numFmt w:val="lowerRoman"/>
      <w:lvlText w:val="%3."/>
      <w:lvlJc w:val="right"/>
      <w:pPr>
        <w:ind w:left="2160" w:hanging="180"/>
      </w:pPr>
    </w:lvl>
    <w:lvl w:ilvl="3" w:tplc="BF966DC6" w:tentative="1">
      <w:start w:val="1"/>
      <w:numFmt w:val="decimal"/>
      <w:lvlText w:val="%4."/>
      <w:lvlJc w:val="left"/>
      <w:pPr>
        <w:ind w:left="2880" w:hanging="360"/>
      </w:pPr>
    </w:lvl>
    <w:lvl w:ilvl="4" w:tplc="A74EE420" w:tentative="1">
      <w:start w:val="1"/>
      <w:numFmt w:val="lowerLetter"/>
      <w:lvlText w:val="%5."/>
      <w:lvlJc w:val="left"/>
      <w:pPr>
        <w:ind w:left="3600" w:hanging="360"/>
      </w:pPr>
    </w:lvl>
    <w:lvl w:ilvl="5" w:tplc="387A1640" w:tentative="1">
      <w:start w:val="1"/>
      <w:numFmt w:val="lowerRoman"/>
      <w:lvlText w:val="%6."/>
      <w:lvlJc w:val="right"/>
      <w:pPr>
        <w:ind w:left="4320" w:hanging="180"/>
      </w:pPr>
    </w:lvl>
    <w:lvl w:ilvl="6" w:tplc="D2C09786" w:tentative="1">
      <w:start w:val="1"/>
      <w:numFmt w:val="decimal"/>
      <w:lvlText w:val="%7."/>
      <w:lvlJc w:val="left"/>
      <w:pPr>
        <w:ind w:left="5040" w:hanging="360"/>
      </w:pPr>
    </w:lvl>
    <w:lvl w:ilvl="7" w:tplc="6984858E" w:tentative="1">
      <w:start w:val="1"/>
      <w:numFmt w:val="lowerLetter"/>
      <w:lvlText w:val="%8."/>
      <w:lvlJc w:val="left"/>
      <w:pPr>
        <w:ind w:left="5760" w:hanging="360"/>
      </w:pPr>
    </w:lvl>
    <w:lvl w:ilvl="8" w:tplc="39861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E0ADB"/>
    <w:multiLevelType w:val="hybridMultilevel"/>
    <w:tmpl w:val="681426EE"/>
    <w:lvl w:ilvl="0" w:tplc="06A06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8AC2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8827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D866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DEFF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4486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CC8A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16C4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A61A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40DE"/>
    <w:multiLevelType w:val="hybridMultilevel"/>
    <w:tmpl w:val="66B22942"/>
    <w:lvl w:ilvl="0" w:tplc="FD0683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4C99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5EFC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1C5A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C8E4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EC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1C4C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0EFB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D6AA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30820"/>
    <w:multiLevelType w:val="hybridMultilevel"/>
    <w:tmpl w:val="CE82FBAC"/>
    <w:lvl w:ilvl="0" w:tplc="F89AF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9668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92A1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CC05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C085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549B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7818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E68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7007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B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6729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5A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7AF"/>
    <w:rsid w:val="000B6FEE"/>
    <w:rsid w:val="000C051B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4F82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17B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187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7025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134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6F9B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036B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5615A"/>
    <w:rsid w:val="00457A2C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39C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5ACE"/>
    <w:rsid w:val="004B772A"/>
    <w:rsid w:val="004C302F"/>
    <w:rsid w:val="004C4609"/>
    <w:rsid w:val="004C4B8A"/>
    <w:rsid w:val="004C52EF"/>
    <w:rsid w:val="004C5F34"/>
    <w:rsid w:val="004C600C"/>
    <w:rsid w:val="004C7888"/>
    <w:rsid w:val="004D153D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3BDA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9C3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0A94"/>
    <w:rsid w:val="006C4709"/>
    <w:rsid w:val="006D3005"/>
    <w:rsid w:val="006D504F"/>
    <w:rsid w:val="006E0CAC"/>
    <w:rsid w:val="006E1CFB"/>
    <w:rsid w:val="006E1F94"/>
    <w:rsid w:val="006E26C1"/>
    <w:rsid w:val="006E30A8"/>
    <w:rsid w:val="006E39EB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33B9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48A1"/>
    <w:rsid w:val="00766E12"/>
    <w:rsid w:val="00767EB4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4B9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102"/>
    <w:rsid w:val="008C0809"/>
    <w:rsid w:val="008C132C"/>
    <w:rsid w:val="008C3FD0"/>
    <w:rsid w:val="008D27A5"/>
    <w:rsid w:val="008D2AAB"/>
    <w:rsid w:val="008D309C"/>
    <w:rsid w:val="008D58F9"/>
    <w:rsid w:val="008D7427"/>
    <w:rsid w:val="008E1435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CB1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477C"/>
    <w:rsid w:val="009A5EA5"/>
    <w:rsid w:val="009B00C2"/>
    <w:rsid w:val="009B26AB"/>
    <w:rsid w:val="009B3476"/>
    <w:rsid w:val="009B39BC"/>
    <w:rsid w:val="009B5069"/>
    <w:rsid w:val="009B53DA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05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1E1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1723"/>
    <w:rsid w:val="00B43672"/>
    <w:rsid w:val="00B44950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1B3E"/>
    <w:rsid w:val="00B73BB4"/>
    <w:rsid w:val="00B80532"/>
    <w:rsid w:val="00B82039"/>
    <w:rsid w:val="00B8219F"/>
    <w:rsid w:val="00B82454"/>
    <w:rsid w:val="00B8771B"/>
    <w:rsid w:val="00B90097"/>
    <w:rsid w:val="00B90999"/>
    <w:rsid w:val="00B91AD7"/>
    <w:rsid w:val="00B92D23"/>
    <w:rsid w:val="00B95BC8"/>
    <w:rsid w:val="00B96E87"/>
    <w:rsid w:val="00BA146A"/>
    <w:rsid w:val="00BA32EE"/>
    <w:rsid w:val="00BB0E74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2E4B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817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194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A7164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893"/>
    <w:rsid w:val="00DD1B8F"/>
    <w:rsid w:val="00DD1D2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2233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12A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5E8"/>
    <w:rsid w:val="00EB27F2"/>
    <w:rsid w:val="00EB3928"/>
    <w:rsid w:val="00EB5373"/>
    <w:rsid w:val="00EC02A2"/>
    <w:rsid w:val="00EC379B"/>
    <w:rsid w:val="00EC37DF"/>
    <w:rsid w:val="00EC3A99"/>
    <w:rsid w:val="00EC41B1"/>
    <w:rsid w:val="00EC71D5"/>
    <w:rsid w:val="00ED0665"/>
    <w:rsid w:val="00ED12C0"/>
    <w:rsid w:val="00ED19F0"/>
    <w:rsid w:val="00ED2B50"/>
    <w:rsid w:val="00ED3A32"/>
    <w:rsid w:val="00ED3BDE"/>
    <w:rsid w:val="00ED68FB"/>
    <w:rsid w:val="00ED7049"/>
    <w:rsid w:val="00ED783A"/>
    <w:rsid w:val="00EE2E34"/>
    <w:rsid w:val="00EE2E3C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3E48"/>
    <w:rsid w:val="00EF543E"/>
    <w:rsid w:val="00EF559F"/>
    <w:rsid w:val="00EF5AA2"/>
    <w:rsid w:val="00EF7E26"/>
    <w:rsid w:val="00F00ED1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3A68"/>
    <w:rsid w:val="00F44349"/>
    <w:rsid w:val="00F4569E"/>
    <w:rsid w:val="00F45AFC"/>
    <w:rsid w:val="00F462F4"/>
    <w:rsid w:val="00F47A25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2AF9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3A3B20-CC76-4266-82DC-C6D09F9A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039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039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39C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039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39C3"/>
    <w:rPr>
      <w:b/>
      <w:bCs/>
    </w:rPr>
  </w:style>
  <w:style w:type="paragraph" w:styleId="Revision">
    <w:name w:val="Revision"/>
    <w:hidden/>
    <w:uiPriority w:val="99"/>
    <w:semiHidden/>
    <w:rsid w:val="00EE2E3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9739C"/>
    <w:pPr>
      <w:ind w:left="720"/>
      <w:contextualSpacing/>
    </w:pPr>
  </w:style>
  <w:style w:type="character" w:styleId="Hyperlink">
    <w:name w:val="Hyperlink"/>
    <w:basedOn w:val="DefaultParagraphFont"/>
    <w:unhideWhenUsed/>
    <w:rsid w:val="00B8771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77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65A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781</Words>
  <Characters>4544</Characters>
  <Application>Microsoft Office Word</Application>
  <DocSecurity>4</DocSecurity>
  <Lines>103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HB03990 (Committee Report (Substituted))</vt:lpstr>
    </vt:vector>
  </TitlesOfParts>
  <Company>State of Texas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22476</dc:subject>
  <dc:creator>State of Texas</dc:creator>
  <dc:description>HB 3990 by Kacal-(H)Natural Resources (Substitute Document Number: 88R 19965)</dc:description>
  <cp:lastModifiedBy>Thomas Weis</cp:lastModifiedBy>
  <cp:revision>2</cp:revision>
  <cp:lastPrinted>2003-11-26T17:21:00Z</cp:lastPrinted>
  <dcterms:created xsi:type="dcterms:W3CDTF">2023-04-10T23:45:00Z</dcterms:created>
  <dcterms:modified xsi:type="dcterms:W3CDTF">2023-04-10T23:45:00Z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23.97.250</vt:lpwstr>
  </property>
</Properties>
</file>