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3F3D" w14:paraId="0D69BAF6" w14:textId="77777777" w:rsidTr="00345119">
        <w:tc>
          <w:tcPr>
            <w:tcW w:w="9576" w:type="dxa"/>
            <w:noWrap/>
          </w:tcPr>
          <w:p w14:paraId="52868358" w14:textId="77777777" w:rsidR="008423E4" w:rsidRPr="0022177D" w:rsidRDefault="000E2EEB" w:rsidP="008E1CAF">
            <w:pPr>
              <w:pStyle w:val="Heading1"/>
            </w:pPr>
            <w:r w:rsidRPr="00631897">
              <w:t>BILL ANALYSIS</w:t>
            </w:r>
          </w:p>
        </w:tc>
      </w:tr>
    </w:tbl>
    <w:p w14:paraId="2C3629BD" w14:textId="77777777" w:rsidR="008423E4" w:rsidRPr="0022177D" w:rsidRDefault="008423E4" w:rsidP="008E1CAF">
      <w:pPr>
        <w:jc w:val="center"/>
      </w:pPr>
    </w:p>
    <w:p w14:paraId="34EBFE3E" w14:textId="77777777" w:rsidR="008423E4" w:rsidRPr="00B31F0E" w:rsidRDefault="008423E4" w:rsidP="008E1CAF"/>
    <w:p w14:paraId="5C856E68" w14:textId="77777777" w:rsidR="008423E4" w:rsidRPr="00742794" w:rsidRDefault="008423E4" w:rsidP="008E1CA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3F3D" w14:paraId="69590EFD" w14:textId="77777777" w:rsidTr="00345119">
        <w:tc>
          <w:tcPr>
            <w:tcW w:w="9576" w:type="dxa"/>
          </w:tcPr>
          <w:p w14:paraId="05E97C7A" w14:textId="432301EF" w:rsidR="008423E4" w:rsidRPr="00861995" w:rsidRDefault="000E2EEB" w:rsidP="008E1CAF">
            <w:pPr>
              <w:jc w:val="right"/>
            </w:pPr>
            <w:r>
              <w:t>C.S.H.B. 4128</w:t>
            </w:r>
          </w:p>
        </w:tc>
      </w:tr>
      <w:tr w:rsidR="00343F3D" w14:paraId="6F18FD8C" w14:textId="77777777" w:rsidTr="00345119">
        <w:tc>
          <w:tcPr>
            <w:tcW w:w="9576" w:type="dxa"/>
          </w:tcPr>
          <w:p w14:paraId="18A0E25E" w14:textId="2D30DF04" w:rsidR="008423E4" w:rsidRPr="00861995" w:rsidRDefault="000E2EEB" w:rsidP="008E1CAF">
            <w:pPr>
              <w:jc w:val="right"/>
            </w:pPr>
            <w:r>
              <w:t xml:space="preserve">By: </w:t>
            </w:r>
            <w:r w:rsidR="005E68BA">
              <w:t>Murr</w:t>
            </w:r>
          </w:p>
        </w:tc>
      </w:tr>
      <w:tr w:rsidR="00343F3D" w14:paraId="6FF783AA" w14:textId="77777777" w:rsidTr="00345119">
        <w:tc>
          <w:tcPr>
            <w:tcW w:w="9576" w:type="dxa"/>
          </w:tcPr>
          <w:p w14:paraId="2CC3D60D" w14:textId="20D1D253" w:rsidR="008423E4" w:rsidRPr="00861995" w:rsidRDefault="000E2EEB" w:rsidP="008E1CAF">
            <w:pPr>
              <w:jc w:val="right"/>
            </w:pPr>
            <w:r>
              <w:t>Judiciary &amp; Civil Jurisprudence</w:t>
            </w:r>
          </w:p>
        </w:tc>
      </w:tr>
      <w:tr w:rsidR="00343F3D" w14:paraId="109E9A26" w14:textId="77777777" w:rsidTr="00345119">
        <w:tc>
          <w:tcPr>
            <w:tcW w:w="9576" w:type="dxa"/>
          </w:tcPr>
          <w:p w14:paraId="058313E3" w14:textId="5F472E78" w:rsidR="008423E4" w:rsidRDefault="000E2EEB" w:rsidP="008E1CAF">
            <w:pPr>
              <w:jc w:val="right"/>
            </w:pPr>
            <w:r>
              <w:t>Committee Report (Substituted)</w:t>
            </w:r>
          </w:p>
        </w:tc>
      </w:tr>
    </w:tbl>
    <w:p w14:paraId="2F8C5D80" w14:textId="77777777" w:rsidR="008423E4" w:rsidRDefault="008423E4" w:rsidP="008E1CAF">
      <w:pPr>
        <w:tabs>
          <w:tab w:val="right" w:pos="9360"/>
        </w:tabs>
      </w:pPr>
    </w:p>
    <w:p w14:paraId="36EBCC18" w14:textId="77777777" w:rsidR="008423E4" w:rsidRDefault="008423E4" w:rsidP="008E1CAF"/>
    <w:p w14:paraId="0F019155" w14:textId="77777777" w:rsidR="008423E4" w:rsidRDefault="008423E4" w:rsidP="008E1CA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3F3D" w14:paraId="11779EEF" w14:textId="77777777" w:rsidTr="00291AE7">
        <w:tc>
          <w:tcPr>
            <w:tcW w:w="9360" w:type="dxa"/>
          </w:tcPr>
          <w:p w14:paraId="4A3130D6" w14:textId="77777777" w:rsidR="008423E4" w:rsidRPr="00A8133F" w:rsidRDefault="000E2EEB" w:rsidP="008E1C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2B5C1B" w14:textId="77777777" w:rsidR="008423E4" w:rsidRDefault="008423E4" w:rsidP="008E1CAF"/>
          <w:p w14:paraId="067953E6" w14:textId="6C16CB97" w:rsidR="008423E4" w:rsidRDefault="000E2EEB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During</w:t>
            </w:r>
            <w:r w:rsidRPr="00277742">
              <w:t xml:space="preserve"> </w:t>
            </w:r>
            <w:r w:rsidR="00277742" w:rsidRPr="00277742">
              <w:t>the 87th Legislative Session</w:t>
            </w:r>
            <w:r w:rsidR="00003F62">
              <w:t xml:space="preserve">, the Texas legislature passed </w:t>
            </w:r>
            <w:r w:rsidR="00277742">
              <w:t>H.B.</w:t>
            </w:r>
            <w:r w:rsidR="00775C0D">
              <w:t> </w:t>
            </w:r>
            <w:r w:rsidR="00277742" w:rsidRPr="00277742">
              <w:t>79</w:t>
            </w:r>
            <w:r w:rsidR="001B6CDC">
              <w:t>,</w:t>
            </w:r>
            <w:r w:rsidR="00277742" w:rsidRPr="00277742">
              <w:t xml:space="preserve"> which established a system of regional specialized guardianship courts, similar to child protection courts</w:t>
            </w:r>
            <w:r w:rsidR="00003F62">
              <w:t xml:space="preserve">, </w:t>
            </w:r>
            <w:r w:rsidR="00277742" w:rsidRPr="00277742">
              <w:t xml:space="preserve">with associate judges and adequate court staff. Current </w:t>
            </w:r>
            <w:r w:rsidR="001B6CDC">
              <w:t>law</w:t>
            </w:r>
            <w:r w:rsidR="001B6CDC" w:rsidRPr="00277742">
              <w:t xml:space="preserve"> </w:t>
            </w:r>
            <w:r w:rsidR="00003F62">
              <w:t>classifies</w:t>
            </w:r>
            <w:r w:rsidR="00003F62" w:rsidRPr="00277742">
              <w:t xml:space="preserve"> </w:t>
            </w:r>
            <w:r w:rsidR="001B6CDC">
              <w:t>such</w:t>
            </w:r>
            <w:r w:rsidR="001B6CDC" w:rsidRPr="00277742">
              <w:t xml:space="preserve"> </w:t>
            </w:r>
            <w:r w:rsidR="00277742" w:rsidRPr="00277742">
              <w:t xml:space="preserve">associate judges and their staff </w:t>
            </w:r>
            <w:r w:rsidR="00003F62">
              <w:t>as</w:t>
            </w:r>
            <w:r w:rsidR="00003F62" w:rsidRPr="00277742">
              <w:t xml:space="preserve"> </w:t>
            </w:r>
            <w:r w:rsidR="00277742" w:rsidRPr="00277742">
              <w:t>county employees.</w:t>
            </w:r>
            <w:r w:rsidR="00277742">
              <w:t xml:space="preserve"> </w:t>
            </w:r>
            <w:r w:rsidR="006F009A">
              <w:t>C.S.</w:t>
            </w:r>
            <w:r w:rsidR="00277742">
              <w:t>H.B.</w:t>
            </w:r>
            <w:r w:rsidR="00775C0D">
              <w:t> </w:t>
            </w:r>
            <w:r w:rsidR="00277742" w:rsidRPr="00277742">
              <w:t xml:space="preserve">4128 seeks to update current </w:t>
            </w:r>
            <w:r w:rsidR="00003F62">
              <w:t>law</w:t>
            </w:r>
            <w:r w:rsidR="00277742" w:rsidRPr="00277742">
              <w:t xml:space="preserve"> </w:t>
            </w:r>
            <w:r w:rsidR="00277742">
              <w:t>regarding</w:t>
            </w:r>
            <w:r w:rsidR="00277742" w:rsidRPr="00277742">
              <w:t xml:space="preserve"> specialized guardianship courts</w:t>
            </w:r>
            <w:r w:rsidR="00277742">
              <w:t xml:space="preserve"> by</w:t>
            </w:r>
            <w:r w:rsidR="00277742" w:rsidRPr="00277742">
              <w:t xml:space="preserve"> </w:t>
            </w:r>
            <w:r w:rsidR="00277742">
              <w:t>reclassifying</w:t>
            </w:r>
            <w:r w:rsidR="00277742" w:rsidRPr="00277742">
              <w:t xml:space="preserve"> </w:t>
            </w:r>
            <w:r>
              <w:t xml:space="preserve">these </w:t>
            </w:r>
            <w:r w:rsidR="00277742" w:rsidRPr="00277742">
              <w:t xml:space="preserve">associate judges and their staff from county employees to state employees and </w:t>
            </w:r>
            <w:r w:rsidR="0010700A">
              <w:t>providing for additional duties to be performed by</w:t>
            </w:r>
            <w:r w:rsidR="00277742" w:rsidRPr="00277742">
              <w:t xml:space="preserve"> </w:t>
            </w:r>
            <w:r w:rsidR="00003F62">
              <w:t>the</w:t>
            </w:r>
            <w:r w:rsidR="00277742" w:rsidRPr="00277742">
              <w:t xml:space="preserve"> associate judge</w:t>
            </w:r>
            <w:r w:rsidR="00277742">
              <w:t>s</w:t>
            </w:r>
            <w:r w:rsidR="00277742" w:rsidRPr="00277742">
              <w:t>,</w:t>
            </w:r>
            <w:r w:rsidR="00277742">
              <w:t xml:space="preserve"> as well as</w:t>
            </w:r>
            <w:r w:rsidR="00277742" w:rsidRPr="00277742">
              <w:t xml:space="preserve"> court coordinator</w:t>
            </w:r>
            <w:r w:rsidR="00277742">
              <w:t>s</w:t>
            </w:r>
            <w:r w:rsidR="00277742" w:rsidRPr="00277742">
              <w:t xml:space="preserve"> and court investigator</w:t>
            </w:r>
            <w:r w:rsidR="00277742">
              <w:t>s</w:t>
            </w:r>
            <w:r w:rsidR="001B6CDC">
              <w:t>,</w:t>
            </w:r>
            <w:r w:rsidR="00277742">
              <w:t xml:space="preserve"> </w:t>
            </w:r>
            <w:r w:rsidR="001B6CDC">
              <w:t xml:space="preserve">so </w:t>
            </w:r>
            <w:r w:rsidR="00277742" w:rsidRPr="00277742">
              <w:t xml:space="preserve">that </w:t>
            </w:r>
            <w:r w:rsidR="001B6CDC">
              <w:t xml:space="preserve">they </w:t>
            </w:r>
            <w:r w:rsidR="00277742" w:rsidRPr="00277742">
              <w:t xml:space="preserve">will </w:t>
            </w:r>
            <w:r w:rsidR="001B6CDC">
              <w:t>be</w:t>
            </w:r>
            <w:r w:rsidR="00277742" w:rsidRPr="00277742">
              <w:t xml:space="preserve"> </w:t>
            </w:r>
            <w:r w:rsidR="001B6CDC">
              <w:t xml:space="preserve">able </w:t>
            </w:r>
            <w:r w:rsidR="00277742" w:rsidRPr="00277742">
              <w:t>to better serve specialized courts</w:t>
            </w:r>
            <w:r w:rsidR="001B6CDC">
              <w:t>.</w:t>
            </w:r>
          </w:p>
          <w:p w14:paraId="77945B18" w14:textId="77777777" w:rsidR="008423E4" w:rsidRPr="00E26B13" w:rsidRDefault="008423E4" w:rsidP="008E1CAF">
            <w:pPr>
              <w:rPr>
                <w:b/>
              </w:rPr>
            </w:pPr>
          </w:p>
        </w:tc>
      </w:tr>
      <w:tr w:rsidR="00343F3D" w14:paraId="0D8D3517" w14:textId="77777777" w:rsidTr="00291AE7">
        <w:tc>
          <w:tcPr>
            <w:tcW w:w="9360" w:type="dxa"/>
          </w:tcPr>
          <w:p w14:paraId="3518EA00" w14:textId="77777777" w:rsidR="0017725B" w:rsidRDefault="000E2EEB" w:rsidP="008E1C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D5DE2A" w14:textId="77777777" w:rsidR="0017725B" w:rsidRDefault="0017725B" w:rsidP="008E1CAF">
            <w:pPr>
              <w:rPr>
                <w:b/>
                <w:u w:val="single"/>
              </w:rPr>
            </w:pPr>
          </w:p>
          <w:p w14:paraId="146A2C36" w14:textId="77777777" w:rsidR="0017725B" w:rsidRDefault="000E2EEB" w:rsidP="008E1CAF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14:paraId="02FBB64C" w14:textId="7D147219" w:rsidR="008E1CAF" w:rsidRPr="0017725B" w:rsidRDefault="008E1CAF" w:rsidP="008E1CAF">
            <w:pPr>
              <w:jc w:val="both"/>
              <w:rPr>
                <w:b/>
                <w:u w:val="single"/>
              </w:rPr>
            </w:pPr>
          </w:p>
        </w:tc>
      </w:tr>
      <w:tr w:rsidR="00343F3D" w14:paraId="44680FA0" w14:textId="77777777" w:rsidTr="00291AE7">
        <w:tc>
          <w:tcPr>
            <w:tcW w:w="9360" w:type="dxa"/>
          </w:tcPr>
          <w:p w14:paraId="7D3A75A9" w14:textId="77777777" w:rsidR="008423E4" w:rsidRPr="00A8133F" w:rsidRDefault="000E2EEB" w:rsidP="008E1C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C0C375" w14:textId="77777777" w:rsidR="008423E4" w:rsidRDefault="008423E4" w:rsidP="008E1CAF"/>
          <w:p w14:paraId="44E0BDAB" w14:textId="77777777" w:rsidR="008423E4" w:rsidRDefault="000E2EEB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14:paraId="51EE776A" w14:textId="482EC24C" w:rsidR="008E1CAF" w:rsidRPr="00E21FDC" w:rsidRDefault="008E1CAF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3F3D" w14:paraId="642BFC16" w14:textId="77777777" w:rsidTr="00291AE7">
        <w:tc>
          <w:tcPr>
            <w:tcW w:w="9360" w:type="dxa"/>
          </w:tcPr>
          <w:p w14:paraId="26977B54" w14:textId="29BB20F5" w:rsidR="008423E4" w:rsidRPr="001A513F" w:rsidRDefault="000E2EEB" w:rsidP="008E1C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C5AC53" w14:textId="77777777" w:rsidR="008E1CAF" w:rsidRDefault="008E1CAF" w:rsidP="008E1CAF">
            <w:pPr>
              <w:jc w:val="both"/>
            </w:pPr>
          </w:p>
          <w:p w14:paraId="116F935D" w14:textId="7B054219" w:rsidR="007B0BFB" w:rsidRPr="00A27DA8" w:rsidRDefault="000E2EEB" w:rsidP="008E1CAF">
            <w:pPr>
              <w:jc w:val="both"/>
            </w:pPr>
            <w:r>
              <w:t>C.S.</w:t>
            </w:r>
            <w:r w:rsidR="001165E2">
              <w:t xml:space="preserve">H.B. 4128 amends the </w:t>
            </w:r>
            <w:r w:rsidR="007E2AF7">
              <w:t>Government Code to</w:t>
            </w:r>
            <w:r>
              <w:t xml:space="preserve"> include money available from the state government </w:t>
            </w:r>
            <w:r w:rsidR="007B5892">
              <w:t>as a source</w:t>
            </w:r>
            <w:r>
              <w:t xml:space="preserve"> from which salaries for </w:t>
            </w:r>
            <w:r w:rsidRPr="007B0BFB">
              <w:t>associate judge</w:t>
            </w:r>
            <w:r w:rsidR="007B5892">
              <w:t>s</w:t>
            </w:r>
            <w:r w:rsidRPr="007B0BFB">
              <w:t xml:space="preserve"> for guardianship and protective services proceedings in certain courts</w:t>
            </w:r>
            <w:r>
              <w:t xml:space="preserve"> </w:t>
            </w:r>
            <w:r w:rsidR="000870B7">
              <w:t xml:space="preserve">may be </w:t>
            </w:r>
            <w:r>
              <w:t xml:space="preserve">paid. </w:t>
            </w:r>
            <w:r w:rsidR="00003F62">
              <w:t>The bill establishes that a</w:t>
            </w:r>
            <w:r w:rsidRPr="007B0BFB">
              <w:t xml:space="preserve">n associate judge </w:t>
            </w:r>
            <w:r w:rsidR="00A27DA8">
              <w:t>and</w:t>
            </w:r>
            <w:r w:rsidR="007B5892">
              <w:t xml:space="preserve"> the</w:t>
            </w:r>
            <w:r w:rsidR="00A27DA8">
              <w:t xml:space="preserve"> personnel</w:t>
            </w:r>
            <w:r w:rsidR="001648F1">
              <w:t xml:space="preserve"> </w:t>
            </w:r>
            <w:r w:rsidR="007B5892">
              <w:t>appointed to assist the associate judge</w:t>
            </w:r>
            <w:r w:rsidR="00E32625">
              <w:t>,</w:t>
            </w:r>
            <w:r w:rsidR="007B5892">
              <w:t xml:space="preserve"> </w:t>
            </w:r>
            <w:r w:rsidR="000870B7">
              <w:t>if their</w:t>
            </w:r>
            <w:r w:rsidRPr="007B0BFB">
              <w:t xml:space="preserve"> salary is paid from</w:t>
            </w:r>
            <w:r>
              <w:t xml:space="preserve"> </w:t>
            </w:r>
            <w:r w:rsidR="007B5892" w:rsidRPr="007B5892">
              <w:t>money available from the state and federal government</w:t>
            </w:r>
            <w:r w:rsidR="007B5892">
              <w:t xml:space="preserve"> or a combination of such money and </w:t>
            </w:r>
            <w:r w:rsidR="007B5892" w:rsidRPr="007B5892">
              <w:t>county money available for payment of officers' salaries, subject to the commissioners court</w:t>
            </w:r>
            <w:r w:rsidR="007B5892">
              <w:t xml:space="preserve"> approval</w:t>
            </w:r>
            <w:r w:rsidR="000870B7">
              <w:t>,</w:t>
            </w:r>
            <w:r w:rsidR="007B5892">
              <w:t xml:space="preserve"> </w:t>
            </w:r>
            <w:r w:rsidR="000870B7">
              <w:t>are</w:t>
            </w:r>
            <w:r>
              <w:t xml:space="preserve"> </w:t>
            </w:r>
            <w:r w:rsidRPr="007B0BFB">
              <w:t>state employee</w:t>
            </w:r>
            <w:r w:rsidR="000870B7">
              <w:t>s</w:t>
            </w:r>
            <w:r w:rsidRPr="007B0BFB">
              <w:t xml:space="preserve"> for all purposes</w:t>
            </w:r>
            <w:r w:rsidR="00E32625">
              <w:t xml:space="preserve">, </w:t>
            </w:r>
            <w:r w:rsidR="00E32625" w:rsidRPr="00E32625">
              <w:t>including accrual of leave time, insurance benefits, retirement benefits, and travel regulations</w:t>
            </w:r>
            <w:r w:rsidRPr="007B0BFB">
              <w:t>.</w:t>
            </w:r>
            <w:r w:rsidR="00531F07">
              <w:t xml:space="preserve"> These provisions apply </w:t>
            </w:r>
            <w:r w:rsidR="00531F07" w:rsidRPr="001165E2">
              <w:t xml:space="preserve">only to an associate judge appointed or </w:t>
            </w:r>
            <w:r w:rsidR="00531F07">
              <w:t xml:space="preserve">applicable </w:t>
            </w:r>
            <w:r w:rsidR="00531F07" w:rsidRPr="001165E2">
              <w:t>court personnel employed on or after the</w:t>
            </w:r>
            <w:r w:rsidR="00531F07">
              <w:t xml:space="preserve"> bill's</w:t>
            </w:r>
            <w:r w:rsidR="00531F07" w:rsidRPr="001165E2">
              <w:t xml:space="preserve"> effective date</w:t>
            </w:r>
            <w:r w:rsidR="00531F07">
              <w:t>.</w:t>
            </w:r>
          </w:p>
          <w:p w14:paraId="27E8FD8D" w14:textId="3053E50A" w:rsidR="007B0BFB" w:rsidRDefault="007B0BFB" w:rsidP="008E1CAF">
            <w:pPr>
              <w:rPr>
                <w:rFonts w:ascii="Consolas" w:hAnsi="Consolas"/>
                <w:color w:val="333333"/>
                <w:shd w:val="clear" w:color="auto" w:fill="FFFFFF"/>
              </w:rPr>
            </w:pPr>
          </w:p>
          <w:p w14:paraId="1D86754F" w14:textId="0BD87F6A" w:rsidR="007B0BFB" w:rsidRDefault="000E2EEB" w:rsidP="008E1CAF">
            <w:pPr>
              <w:rPr>
                <w:shd w:val="clear" w:color="auto" w:fill="FFFFFF"/>
              </w:rPr>
            </w:pPr>
            <w:r>
              <w:t xml:space="preserve">C.S.H.B. 4128 </w:t>
            </w:r>
            <w:r>
              <w:rPr>
                <w:shd w:val="clear" w:color="auto" w:fill="FFFFFF"/>
              </w:rPr>
              <w:t>authorizes</w:t>
            </w:r>
            <w:r>
              <w:rPr>
                <w:shd w:val="clear" w:color="auto" w:fill="FFFFFF"/>
              </w:rPr>
              <w:t xml:space="preserve"> an associate judge to oversee and </w:t>
            </w:r>
            <w:r w:rsidRPr="007B0BFB">
              <w:rPr>
                <w:shd w:val="clear" w:color="auto" w:fill="FFFFFF"/>
              </w:rPr>
              <w:t>monitor guardianship proceedings and protective services proceedings in each court</w:t>
            </w:r>
            <w:r w:rsidR="000870B7">
              <w:rPr>
                <w:shd w:val="clear" w:color="auto" w:fill="FFFFFF"/>
              </w:rPr>
              <w:t xml:space="preserve"> to which</w:t>
            </w:r>
            <w:r w:rsidRPr="007B0B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they are appointed </w:t>
            </w:r>
            <w:r w:rsidR="000870B7">
              <w:rPr>
                <w:shd w:val="clear" w:color="auto" w:fill="FFFFFF"/>
              </w:rPr>
              <w:t xml:space="preserve">and establishes that the judge's </w:t>
            </w:r>
            <w:r w:rsidR="00A27DA8">
              <w:rPr>
                <w:shd w:val="clear" w:color="auto" w:fill="FFFFFF"/>
              </w:rPr>
              <w:t>authority to</w:t>
            </w:r>
            <w:r w:rsidR="000870B7">
              <w:rPr>
                <w:shd w:val="clear" w:color="auto" w:fill="FFFFFF"/>
              </w:rPr>
              <w:t xml:space="preserve"> oversee and monitor proceedings includes the authority to</w:t>
            </w:r>
            <w:r w:rsidR="00A27DA8">
              <w:rPr>
                <w:shd w:val="clear" w:color="auto" w:fill="FFFFFF"/>
              </w:rPr>
              <w:t xml:space="preserve"> </w:t>
            </w:r>
            <w:r w:rsidR="000870B7">
              <w:rPr>
                <w:shd w:val="clear" w:color="auto" w:fill="FFFFFF"/>
              </w:rPr>
              <w:t xml:space="preserve">do </w:t>
            </w:r>
            <w:r w:rsidR="00A27DA8">
              <w:rPr>
                <w:shd w:val="clear" w:color="auto" w:fill="FFFFFF"/>
              </w:rPr>
              <w:t>the following:</w:t>
            </w:r>
          </w:p>
          <w:p w14:paraId="64930EBA" w14:textId="103C571B" w:rsidR="00A27DA8" w:rsidRPr="00A27DA8" w:rsidRDefault="000E2EEB" w:rsidP="008E1CA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hd w:val="clear" w:color="auto" w:fill="FFFFFF"/>
              </w:rPr>
            </w:pPr>
            <w:r w:rsidRPr="00A27DA8">
              <w:rPr>
                <w:shd w:val="clear" w:color="auto" w:fill="FFFFFF"/>
              </w:rPr>
              <w:t xml:space="preserve">review the guardianship of wards and address any reporting deficiencies </w:t>
            </w:r>
            <w:r w:rsidR="009329EA">
              <w:rPr>
                <w:shd w:val="clear" w:color="auto" w:fill="FFFFFF"/>
              </w:rPr>
              <w:t xml:space="preserve">that are reported to the court </w:t>
            </w:r>
            <w:r w:rsidR="00D861F6">
              <w:rPr>
                <w:shd w:val="clear" w:color="auto" w:fill="FFFFFF"/>
              </w:rPr>
              <w:t>with respect to certain guardian reporting and accounting requirement</w:t>
            </w:r>
            <w:r w:rsidR="009329EA">
              <w:rPr>
                <w:shd w:val="clear" w:color="auto" w:fill="FFFFFF"/>
              </w:rPr>
              <w:t>s</w:t>
            </w:r>
            <w:r w:rsidRPr="00A27DA8">
              <w:rPr>
                <w:shd w:val="clear" w:color="auto" w:fill="FFFFFF"/>
              </w:rPr>
              <w:t>;</w:t>
            </w:r>
          </w:p>
          <w:p w14:paraId="01BC0334" w14:textId="14B22E49" w:rsidR="00A27DA8" w:rsidRPr="00A27DA8" w:rsidRDefault="000E2EEB" w:rsidP="008E1CA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hd w:val="clear" w:color="auto" w:fill="FFFFFF"/>
              </w:rPr>
            </w:pPr>
            <w:r w:rsidRPr="00A27DA8">
              <w:rPr>
                <w:shd w:val="clear" w:color="auto" w:fill="FFFFFF"/>
              </w:rPr>
              <w:t>obtain and review</w:t>
            </w:r>
            <w:r w:rsidR="00D861F6">
              <w:rPr>
                <w:shd w:val="clear" w:color="auto" w:fill="FFFFFF"/>
              </w:rPr>
              <w:t xml:space="preserve"> certain</w:t>
            </w:r>
            <w:r w:rsidRPr="00A27DA8">
              <w:rPr>
                <w:shd w:val="clear" w:color="auto" w:fill="FFFFFF"/>
              </w:rPr>
              <w:t xml:space="preserve"> </w:t>
            </w:r>
            <w:r w:rsidR="009329EA">
              <w:rPr>
                <w:shd w:val="clear" w:color="auto" w:fill="FFFFFF"/>
              </w:rPr>
              <w:t xml:space="preserve">required </w:t>
            </w:r>
            <w:r w:rsidRPr="00A27DA8">
              <w:rPr>
                <w:shd w:val="clear" w:color="auto" w:fill="FFFFFF"/>
              </w:rPr>
              <w:t xml:space="preserve">annual accounts guardians </w:t>
            </w:r>
            <w:r w:rsidRPr="00A27DA8">
              <w:rPr>
                <w:shd w:val="clear" w:color="auto" w:fill="FFFFFF"/>
              </w:rPr>
              <w:t>file;</w:t>
            </w:r>
          </w:p>
          <w:p w14:paraId="6654EEF5" w14:textId="7461A7B0" w:rsidR="00A27DA8" w:rsidRPr="00A27DA8" w:rsidRDefault="000E2EEB" w:rsidP="008E1CA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hd w:val="clear" w:color="auto" w:fill="FFFFFF"/>
              </w:rPr>
            </w:pPr>
            <w:r w:rsidRPr="00A27DA8">
              <w:rPr>
                <w:shd w:val="clear" w:color="auto" w:fill="FFFFFF"/>
              </w:rPr>
              <w:t>address concerns about a ward's well-being; and</w:t>
            </w:r>
          </w:p>
          <w:p w14:paraId="3841ED7D" w14:textId="5BC2E1F8" w:rsidR="00A27DA8" w:rsidRPr="00A27DA8" w:rsidRDefault="000E2EEB" w:rsidP="008E1CA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hd w:val="clear" w:color="auto" w:fill="FFFFFF"/>
              </w:rPr>
            </w:pPr>
            <w:r w:rsidRPr="00A27DA8">
              <w:rPr>
                <w:shd w:val="clear" w:color="auto" w:fill="FFFFFF"/>
              </w:rPr>
              <w:t>take any other action the judge considers necessary to</w:t>
            </w:r>
            <w:r>
              <w:rPr>
                <w:shd w:val="clear" w:color="auto" w:fill="FFFFFF"/>
              </w:rPr>
              <w:t xml:space="preserve"> </w:t>
            </w:r>
            <w:r w:rsidRPr="00A27DA8">
              <w:rPr>
                <w:shd w:val="clear" w:color="auto" w:fill="FFFFFF"/>
              </w:rPr>
              <w:t>ensure the efficient administration of justice in guardianship proceedings and protective services proceedings</w:t>
            </w:r>
            <w:r>
              <w:rPr>
                <w:shd w:val="clear" w:color="auto" w:fill="FFFFFF"/>
              </w:rPr>
              <w:t xml:space="preserve"> </w:t>
            </w:r>
            <w:r w:rsidRPr="00A27DA8">
              <w:rPr>
                <w:shd w:val="clear" w:color="auto" w:fill="FFFFFF"/>
              </w:rPr>
              <w:t>and</w:t>
            </w:r>
            <w:r>
              <w:t xml:space="preserve"> </w:t>
            </w:r>
            <w:r w:rsidRPr="00A27DA8">
              <w:rPr>
                <w:shd w:val="clear" w:color="auto" w:fill="FFFFFF"/>
              </w:rPr>
              <w:t>curtail the risk of potential ab</w:t>
            </w:r>
            <w:r w:rsidRPr="00A27DA8">
              <w:rPr>
                <w:shd w:val="clear" w:color="auto" w:fill="FFFFFF"/>
              </w:rPr>
              <w:t>use, fraud, or exploitation of wards under a guardianship.</w:t>
            </w:r>
          </w:p>
          <w:p w14:paraId="5545C0C4" w14:textId="7000F6B7" w:rsidR="007B0BFB" w:rsidRDefault="007B0BFB" w:rsidP="008E1CAF">
            <w:pPr>
              <w:rPr>
                <w:rFonts w:ascii="Consolas" w:hAnsi="Consolas"/>
                <w:color w:val="333333"/>
                <w:shd w:val="clear" w:color="auto" w:fill="FFFFFF"/>
              </w:rPr>
            </w:pPr>
          </w:p>
          <w:p w14:paraId="2ECEA8D0" w14:textId="195302B9" w:rsidR="006F0CDB" w:rsidRDefault="000E2EEB" w:rsidP="008E1CAF">
            <w:pPr>
              <w:jc w:val="both"/>
            </w:pPr>
            <w:r>
              <w:t xml:space="preserve">C.S.H.B. 4128 </w:t>
            </w:r>
            <w:r w:rsidR="009329EA">
              <w:t>authorizes the</w:t>
            </w:r>
            <w:r w:rsidR="009329EA" w:rsidRPr="009329EA">
              <w:t xml:space="preserve"> </w:t>
            </w:r>
            <w:r w:rsidR="009329EA">
              <w:t>O</w:t>
            </w:r>
            <w:r w:rsidR="009329EA" w:rsidRPr="009329EA">
              <w:t xml:space="preserve">ffice of </w:t>
            </w:r>
            <w:r w:rsidR="009329EA">
              <w:t>C</w:t>
            </w:r>
            <w:r w:rsidR="009329EA" w:rsidRPr="009329EA">
              <w:t xml:space="preserve">ourt </w:t>
            </w:r>
            <w:r w:rsidR="009329EA">
              <w:t>A</w:t>
            </w:r>
            <w:r w:rsidR="009329EA" w:rsidRPr="009329EA">
              <w:t>dministration</w:t>
            </w:r>
            <w:r w:rsidR="009329EA">
              <w:t xml:space="preserve"> (OCA)</w:t>
            </w:r>
            <w:r w:rsidR="00FF5568">
              <w:t xml:space="preserve"> to contract for available money, including state money, </w:t>
            </w:r>
            <w:r w:rsidR="00FF5568" w:rsidRPr="00FF5568">
              <w:t>to fund the use of associate judges</w:t>
            </w:r>
            <w:r w:rsidR="00FF5568">
              <w:t xml:space="preserve"> in certain </w:t>
            </w:r>
            <w:r w:rsidR="00FF5568" w:rsidRPr="00FF5568">
              <w:t>guardianship and protective services proceeding</w:t>
            </w:r>
            <w:r w:rsidR="00FF5568">
              <w:t xml:space="preserve">s. The bill requires </w:t>
            </w:r>
            <w:r>
              <w:t xml:space="preserve">the following of individuals </w:t>
            </w:r>
            <w:r w:rsidR="00AF60FD">
              <w:t xml:space="preserve">employed </w:t>
            </w:r>
            <w:r>
              <w:t>to assist associate judges in those proceedings:</w:t>
            </w:r>
          </w:p>
          <w:p w14:paraId="7F2C62DC" w14:textId="667D1ED9" w:rsidR="006F0CDB" w:rsidRDefault="000E2EEB" w:rsidP="008E1CA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court coordinator to </w:t>
            </w:r>
            <w:r w:rsidRPr="003418A1">
              <w:t>primarily assist the judge with administrative duties, including managing caseloads</w:t>
            </w:r>
            <w:r>
              <w:t>; and</w:t>
            </w:r>
          </w:p>
          <w:p w14:paraId="259D173D" w14:textId="75E65718" w:rsidR="00A27DA8" w:rsidRDefault="000E2EEB" w:rsidP="008E1CA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</w:t>
            </w:r>
            <w:r w:rsidR="003418A1">
              <w:t xml:space="preserve"> </w:t>
            </w:r>
            <w:r w:rsidR="003418A1" w:rsidRPr="003418A1">
              <w:t>court investigator</w:t>
            </w:r>
            <w:r w:rsidR="003418A1">
              <w:t xml:space="preserve"> to </w:t>
            </w:r>
            <w:r w:rsidR="003418A1" w:rsidRPr="003418A1">
              <w:t xml:space="preserve">primarily assist the judge with </w:t>
            </w:r>
            <w:r>
              <w:t xml:space="preserve">certain monitoring and oversight tasks </w:t>
            </w:r>
            <w:r w:rsidR="003418A1" w:rsidRPr="003418A1">
              <w:t>of guardianship proceedings</w:t>
            </w:r>
            <w:r w:rsidR="00742D3A">
              <w:t xml:space="preserve">, including by </w:t>
            </w:r>
            <w:r w:rsidR="00742D3A" w:rsidRPr="00742D3A">
              <w:t>visiting wards and guardians to address any well-being concerns made known to the court</w:t>
            </w:r>
            <w:r w:rsidR="00742D3A">
              <w:t xml:space="preserve"> and </w:t>
            </w:r>
            <w:r w:rsidR="00742D3A" w:rsidRPr="00742D3A">
              <w:t>reviewing annual accounts and annual reports guardians are required to file</w:t>
            </w:r>
            <w:r w:rsidR="003F6EF3">
              <w:t xml:space="preserve"> under applicable Estates Code provisions</w:t>
            </w:r>
            <w:r w:rsidR="001A513F">
              <w:t xml:space="preserve">. </w:t>
            </w:r>
          </w:p>
          <w:p w14:paraId="462D7F5F" w14:textId="77777777" w:rsidR="001A513F" w:rsidRDefault="001A513F" w:rsidP="008E1CAF">
            <w:pPr>
              <w:jc w:val="both"/>
              <w:rPr>
                <w:rFonts w:ascii="Consolas" w:hAnsi="Consolas" w:cs="Courier New"/>
                <w:color w:val="333333"/>
                <w:sz w:val="20"/>
                <w:szCs w:val="20"/>
                <w:u w:val="single"/>
              </w:rPr>
            </w:pPr>
          </w:p>
          <w:p w14:paraId="4DF71623" w14:textId="20A832B0" w:rsidR="007B0BFB" w:rsidRDefault="000E2EEB" w:rsidP="008E1CAF">
            <w:pPr>
              <w:jc w:val="both"/>
              <w:rPr>
                <w:shd w:val="clear" w:color="auto" w:fill="FFFFFF"/>
              </w:rPr>
            </w:pPr>
            <w:r>
              <w:t xml:space="preserve">C.S.H.B. 4128 </w:t>
            </w:r>
            <w:r w:rsidR="003418A1">
              <w:t xml:space="preserve">authorizes the </w:t>
            </w:r>
            <w:r w:rsidR="003418A1" w:rsidRPr="003418A1">
              <w:t xml:space="preserve">presiding judges of the administrative judicial regions, state agencies, and </w:t>
            </w:r>
            <w:r w:rsidR="003418A1" w:rsidRPr="007A672B">
              <w:t>counties to seek federal money available from any source</w:t>
            </w:r>
            <w:r w:rsidR="007A672B" w:rsidRPr="007A672B">
              <w:t>, available state money</w:t>
            </w:r>
            <w:r w:rsidR="00350A24">
              <w:t>,</w:t>
            </w:r>
            <w:r w:rsidR="007A672B" w:rsidRPr="007A672B">
              <w:t xml:space="preserve"> and public or private grants</w:t>
            </w:r>
            <w:r w:rsidR="003418A1" w:rsidRPr="007A672B">
              <w:t xml:space="preserve"> to reimburse costs and salaries associated with </w:t>
            </w:r>
            <w:r w:rsidR="00531F07">
              <w:t>the use of</w:t>
            </w:r>
            <w:r w:rsidR="006F0CDB">
              <w:t xml:space="preserve"> </w:t>
            </w:r>
            <w:r w:rsidR="003418A1" w:rsidRPr="007A672B">
              <w:t xml:space="preserve">associate judges and </w:t>
            </w:r>
            <w:r w:rsidR="00531F07">
              <w:t xml:space="preserve">associated </w:t>
            </w:r>
            <w:r w:rsidR="003418A1" w:rsidRPr="007A672B">
              <w:t>personnel</w:t>
            </w:r>
            <w:r w:rsidR="007A672B" w:rsidRPr="007A672B">
              <w:t xml:space="preserve">. </w:t>
            </w:r>
            <w:r w:rsidR="007A672B" w:rsidRPr="007A672B">
              <w:rPr>
                <w:shd w:val="clear" w:color="auto" w:fill="FFFFFF"/>
              </w:rPr>
              <w:t xml:space="preserve">The bill requires the presiding </w:t>
            </w:r>
            <w:r w:rsidR="00E36ECB">
              <w:rPr>
                <w:shd w:val="clear" w:color="auto" w:fill="FFFFFF"/>
              </w:rPr>
              <w:t xml:space="preserve">judges </w:t>
            </w:r>
            <w:r w:rsidR="007A672B" w:rsidRPr="007A672B">
              <w:rPr>
                <w:shd w:val="clear" w:color="auto" w:fill="FFFFFF"/>
              </w:rPr>
              <w:t xml:space="preserve">and </w:t>
            </w:r>
            <w:r w:rsidR="00531F07">
              <w:rPr>
                <w:shd w:val="clear" w:color="auto" w:fill="FFFFFF"/>
              </w:rPr>
              <w:t>OCA</w:t>
            </w:r>
            <w:r w:rsidR="007A672B" w:rsidRPr="007A672B">
              <w:rPr>
                <w:shd w:val="clear" w:color="auto" w:fill="FFFFFF"/>
              </w:rPr>
              <w:t xml:space="preserve"> in cooperation with other state agencies and counties to take the action necessary to maximize the amount of federal money available </w:t>
            </w:r>
            <w:r w:rsidR="00E36ECB">
              <w:rPr>
                <w:shd w:val="clear" w:color="auto" w:fill="FFFFFF"/>
              </w:rPr>
              <w:t>for such purposes.</w:t>
            </w:r>
          </w:p>
          <w:p w14:paraId="19AE6B9E" w14:textId="536351A2" w:rsidR="001165E2" w:rsidRDefault="001165E2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C51CD8" w14:textId="77777777" w:rsidR="008423E4" w:rsidRDefault="000E2EEB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4128 </w:t>
            </w:r>
            <w:r w:rsidR="001165E2">
              <w:t xml:space="preserve">requires </w:t>
            </w:r>
            <w:r w:rsidR="00531F07">
              <w:t>OCA, on request,</w:t>
            </w:r>
            <w:r w:rsidR="001165E2">
              <w:t xml:space="preserve"> to make available </w:t>
            </w:r>
            <w:r w:rsidR="001165E2" w:rsidRPr="001165E2">
              <w:t xml:space="preserve">to </w:t>
            </w:r>
            <w:r w:rsidR="001165E2">
              <w:t xml:space="preserve">appointed </w:t>
            </w:r>
            <w:r w:rsidR="001165E2" w:rsidRPr="001165E2">
              <w:t>associate judges</w:t>
            </w:r>
            <w:r w:rsidR="001165E2">
              <w:t xml:space="preserve"> </w:t>
            </w:r>
            <w:r w:rsidR="001165E2" w:rsidRPr="001165E2">
              <w:t>guardianship compliance specialists and other resources and assistance</w:t>
            </w:r>
            <w:r w:rsidR="001165E2">
              <w:t xml:space="preserve"> </w:t>
            </w:r>
            <w:r w:rsidR="001165E2" w:rsidRPr="001165E2">
              <w:t>to assist with the oversight and monitoring of guardianship and protective services proceedings</w:t>
            </w:r>
            <w:r w:rsidR="001165E2">
              <w:t>.</w:t>
            </w:r>
          </w:p>
          <w:p w14:paraId="20EAA0EA" w14:textId="2170ADB7" w:rsidR="008E1CAF" w:rsidRPr="00291AE7" w:rsidRDefault="008E1CAF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43F3D" w14:paraId="33E8BF34" w14:textId="77777777" w:rsidTr="00291AE7">
        <w:tc>
          <w:tcPr>
            <w:tcW w:w="9360" w:type="dxa"/>
          </w:tcPr>
          <w:p w14:paraId="0672B1FC" w14:textId="505A63E8" w:rsidR="008423E4" w:rsidRPr="00A8133F" w:rsidRDefault="000E2EEB" w:rsidP="008E1C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22C9CA" w14:textId="77777777" w:rsidR="008423E4" w:rsidRDefault="008423E4" w:rsidP="008E1CAF"/>
          <w:p w14:paraId="03D407F2" w14:textId="77777777" w:rsidR="008423E4" w:rsidRDefault="000E2EEB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680BD3E" w14:textId="76F082BA" w:rsidR="008E1CAF" w:rsidRPr="00233FDB" w:rsidRDefault="008E1CAF" w:rsidP="008E1C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3F3D" w14:paraId="077DE153" w14:textId="77777777" w:rsidTr="00291AE7">
        <w:tc>
          <w:tcPr>
            <w:tcW w:w="9360" w:type="dxa"/>
          </w:tcPr>
          <w:p w14:paraId="3ED2284C" w14:textId="77777777" w:rsidR="005E68BA" w:rsidRDefault="000E2EEB" w:rsidP="008E1C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0B6DBE7F" w14:textId="77777777" w:rsidR="00291AE7" w:rsidRDefault="00291AE7" w:rsidP="008E1CAF">
            <w:pPr>
              <w:jc w:val="both"/>
            </w:pPr>
          </w:p>
          <w:p w14:paraId="366CD03F" w14:textId="0E801202" w:rsidR="00291AE7" w:rsidRPr="005E68BA" w:rsidRDefault="000E2EEB" w:rsidP="008E1CAF">
            <w:pPr>
              <w:jc w:val="both"/>
              <w:rPr>
                <w:b/>
                <w:u w:val="single"/>
              </w:rPr>
            </w:pPr>
            <w:r>
              <w:t xml:space="preserve">C.S.H.B. 4128 differs from the introduced in minor or nonsubstantive ways by </w:t>
            </w:r>
            <w:r>
              <w:t>conforming to certain bill drafting conventions.</w:t>
            </w:r>
          </w:p>
        </w:tc>
      </w:tr>
    </w:tbl>
    <w:p w14:paraId="02FBF2E7" w14:textId="77777777" w:rsidR="008423E4" w:rsidRPr="00BE0E75" w:rsidRDefault="008423E4" w:rsidP="008E1CAF">
      <w:pPr>
        <w:jc w:val="both"/>
        <w:rPr>
          <w:rFonts w:ascii="Arial" w:hAnsi="Arial"/>
          <w:sz w:val="16"/>
          <w:szCs w:val="16"/>
        </w:rPr>
      </w:pPr>
    </w:p>
    <w:p w14:paraId="16A24690" w14:textId="77777777" w:rsidR="004108C3" w:rsidRPr="008423E4" w:rsidRDefault="004108C3" w:rsidP="008E1CA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54FF" w14:textId="77777777" w:rsidR="00000000" w:rsidRDefault="000E2EEB">
      <w:r>
        <w:separator/>
      </w:r>
    </w:p>
  </w:endnote>
  <w:endnote w:type="continuationSeparator" w:id="0">
    <w:p w14:paraId="7AA3E61C" w14:textId="77777777" w:rsidR="00000000" w:rsidRDefault="000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6DF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3F3D" w14:paraId="1C815987" w14:textId="77777777" w:rsidTr="009C1E9A">
      <w:trPr>
        <w:cantSplit/>
      </w:trPr>
      <w:tc>
        <w:tcPr>
          <w:tcW w:w="0" w:type="pct"/>
        </w:tcPr>
        <w:p w14:paraId="7C6655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DB89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3FA94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4D89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B0CB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F3D" w14:paraId="3FC31330" w14:textId="77777777" w:rsidTr="009C1E9A">
      <w:trPr>
        <w:cantSplit/>
      </w:trPr>
      <w:tc>
        <w:tcPr>
          <w:tcW w:w="0" w:type="pct"/>
        </w:tcPr>
        <w:p w14:paraId="295448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756E11" w14:textId="39AB586D" w:rsidR="00EC379B" w:rsidRPr="009C1E9A" w:rsidRDefault="000E2E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23327-D</w:t>
          </w:r>
        </w:p>
      </w:tc>
      <w:tc>
        <w:tcPr>
          <w:tcW w:w="2453" w:type="pct"/>
        </w:tcPr>
        <w:p w14:paraId="310C4BC2" w14:textId="69155CDF" w:rsidR="00EC379B" w:rsidRDefault="000E2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477C">
            <w:t>23.103.1152</w:t>
          </w:r>
          <w:r>
            <w:fldChar w:fldCharType="end"/>
          </w:r>
        </w:p>
      </w:tc>
    </w:tr>
    <w:tr w:rsidR="00343F3D" w14:paraId="2A48631F" w14:textId="77777777" w:rsidTr="009C1E9A">
      <w:trPr>
        <w:cantSplit/>
      </w:trPr>
      <w:tc>
        <w:tcPr>
          <w:tcW w:w="0" w:type="pct"/>
        </w:tcPr>
        <w:p w14:paraId="39C3FD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EA2BAE" w14:textId="2C7E7BCB" w:rsidR="00EC379B" w:rsidRPr="009C1E9A" w:rsidRDefault="000E2E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17690</w:t>
          </w:r>
        </w:p>
      </w:tc>
      <w:tc>
        <w:tcPr>
          <w:tcW w:w="2453" w:type="pct"/>
        </w:tcPr>
        <w:p w14:paraId="689A7A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695E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F3D" w14:paraId="6DA54F7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0F616C" w14:textId="77777777" w:rsidR="00EC379B" w:rsidRDefault="000E2E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1938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E662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DEA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D258" w14:textId="77777777" w:rsidR="00000000" w:rsidRDefault="000E2EEB">
      <w:r>
        <w:separator/>
      </w:r>
    </w:p>
  </w:footnote>
  <w:footnote w:type="continuationSeparator" w:id="0">
    <w:p w14:paraId="6C41A547" w14:textId="77777777" w:rsidR="00000000" w:rsidRDefault="000E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E81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052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0FA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BC8"/>
    <w:multiLevelType w:val="hybridMultilevel"/>
    <w:tmpl w:val="57525070"/>
    <w:lvl w:ilvl="0" w:tplc="3386F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87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2F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B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2E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C3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6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AF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68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A9C"/>
    <w:multiLevelType w:val="hybridMultilevel"/>
    <w:tmpl w:val="4CAE14A8"/>
    <w:lvl w:ilvl="0" w:tplc="A9EE7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03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2C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44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2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E6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07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A9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EE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E"/>
    <w:rsid w:val="00000A70"/>
    <w:rsid w:val="000032B8"/>
    <w:rsid w:val="00003B06"/>
    <w:rsid w:val="00003F62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60C"/>
    <w:rsid w:val="00030AD8"/>
    <w:rsid w:val="0003107A"/>
    <w:rsid w:val="00031C95"/>
    <w:rsid w:val="000330D4"/>
    <w:rsid w:val="0003572D"/>
    <w:rsid w:val="00035DB0"/>
    <w:rsid w:val="00037088"/>
    <w:rsid w:val="000400D5"/>
    <w:rsid w:val="00041923"/>
    <w:rsid w:val="00041C4D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77C"/>
    <w:rsid w:val="000870B7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EEB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00A"/>
    <w:rsid w:val="00110F8C"/>
    <w:rsid w:val="0011274A"/>
    <w:rsid w:val="00113522"/>
    <w:rsid w:val="0011378D"/>
    <w:rsid w:val="00115EE9"/>
    <w:rsid w:val="001165E2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8F1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13F"/>
    <w:rsid w:val="001B053A"/>
    <w:rsid w:val="001B26D8"/>
    <w:rsid w:val="001B3BFA"/>
    <w:rsid w:val="001B6CD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742"/>
    <w:rsid w:val="00280123"/>
    <w:rsid w:val="00281343"/>
    <w:rsid w:val="00281883"/>
    <w:rsid w:val="002874E3"/>
    <w:rsid w:val="00287656"/>
    <w:rsid w:val="00291518"/>
    <w:rsid w:val="00291AE7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FEE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8A1"/>
    <w:rsid w:val="003427C9"/>
    <w:rsid w:val="00343A92"/>
    <w:rsid w:val="00343F3D"/>
    <w:rsid w:val="00344530"/>
    <w:rsid w:val="003446DC"/>
    <w:rsid w:val="00347B4A"/>
    <w:rsid w:val="003500C3"/>
    <w:rsid w:val="00350A24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4CE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EF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F07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16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C1B"/>
    <w:rsid w:val="005D4DAE"/>
    <w:rsid w:val="005D767D"/>
    <w:rsid w:val="005D7A30"/>
    <w:rsid w:val="005D7D3B"/>
    <w:rsid w:val="005E1999"/>
    <w:rsid w:val="005E232C"/>
    <w:rsid w:val="005E2B83"/>
    <w:rsid w:val="005E4AEB"/>
    <w:rsid w:val="005E68BA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A8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09A"/>
    <w:rsid w:val="006F0CD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D3A"/>
    <w:rsid w:val="00743C4C"/>
    <w:rsid w:val="007445B7"/>
    <w:rsid w:val="00744920"/>
    <w:rsid w:val="00745DC7"/>
    <w:rsid w:val="007509BE"/>
    <w:rsid w:val="0075287B"/>
    <w:rsid w:val="00755C7B"/>
    <w:rsid w:val="00764786"/>
    <w:rsid w:val="00766E12"/>
    <w:rsid w:val="0077098E"/>
    <w:rsid w:val="00771287"/>
    <w:rsid w:val="0077149E"/>
    <w:rsid w:val="00775C0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72B"/>
    <w:rsid w:val="007A7EC1"/>
    <w:rsid w:val="007B0BFB"/>
    <w:rsid w:val="007B4FCA"/>
    <w:rsid w:val="007B5892"/>
    <w:rsid w:val="007B7B85"/>
    <w:rsid w:val="007C462E"/>
    <w:rsid w:val="007C496B"/>
    <w:rsid w:val="007C6803"/>
    <w:rsid w:val="007D2892"/>
    <w:rsid w:val="007D2DCC"/>
    <w:rsid w:val="007D47E1"/>
    <w:rsid w:val="007D7FCB"/>
    <w:rsid w:val="007E2AF7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31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1E8"/>
    <w:rsid w:val="008D58F9"/>
    <w:rsid w:val="008D7427"/>
    <w:rsid w:val="008E1CA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EA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09A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DA8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0FD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3EA9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595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1F6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7A5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7AE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625"/>
    <w:rsid w:val="00E3469B"/>
    <w:rsid w:val="00E3679D"/>
    <w:rsid w:val="00E36ECB"/>
    <w:rsid w:val="00E3795D"/>
    <w:rsid w:val="00E4098A"/>
    <w:rsid w:val="00E41CAE"/>
    <w:rsid w:val="00E41D52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60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605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568"/>
    <w:rsid w:val="00FF6F72"/>
    <w:rsid w:val="00FF7565"/>
    <w:rsid w:val="00FF78FE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98E0CC-F70A-4FFE-B290-B2194D0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5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5E2"/>
    <w:rPr>
      <w:b/>
      <w:bCs/>
    </w:rPr>
  </w:style>
  <w:style w:type="paragraph" w:styleId="ListParagraph">
    <w:name w:val="List Paragraph"/>
    <w:basedOn w:val="Normal"/>
    <w:uiPriority w:val="34"/>
    <w:qFormat/>
    <w:rsid w:val="00A27DA8"/>
    <w:pPr>
      <w:ind w:left="720"/>
      <w:contextualSpacing/>
    </w:pPr>
  </w:style>
  <w:style w:type="paragraph" w:styleId="Revision">
    <w:name w:val="Revision"/>
    <w:hidden/>
    <w:uiPriority w:val="99"/>
    <w:semiHidden/>
    <w:rsid w:val="0086331F"/>
    <w:rPr>
      <w:sz w:val="24"/>
      <w:szCs w:val="24"/>
    </w:rPr>
  </w:style>
  <w:style w:type="character" w:styleId="Hyperlink">
    <w:name w:val="Hyperlink"/>
    <w:basedOn w:val="DefaultParagraphFont"/>
    <w:unhideWhenUsed/>
    <w:rsid w:val="002777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4051</Characters>
  <Application>Microsoft Office Word</Application>
  <DocSecurity>4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HB04128 (Committee Report (Substituted))</vt:lpstr>
    </vt:vector>
  </TitlesOfParts>
  <Company>State of Texas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23327</dc:subject>
  <dc:creator>State of Texas</dc:creator>
  <dc:description>HB 4128 by Murr-(H)Judiciary &amp; Civil Jurisprudence (Substitute Document Number: 88R 17690)</dc:description>
  <cp:lastModifiedBy>Alan Gonzalez Otero</cp:lastModifiedBy>
  <cp:revision>2</cp:revision>
  <cp:lastPrinted>2003-11-26T17:21:00Z</cp:lastPrinted>
  <dcterms:created xsi:type="dcterms:W3CDTF">2023-04-25T02:00:00Z</dcterms:created>
  <dcterms:modified xsi:type="dcterms:W3CDTF">2023-04-25T02:00:00Z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23.103.1152</vt:lpwstr>
  </property>
</Properties>
</file>