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87113" w14:paraId="3936F601" w14:textId="77777777" w:rsidTr="00345119">
        <w:tc>
          <w:tcPr>
            <w:tcW w:w="9576" w:type="dxa"/>
            <w:noWrap/>
          </w:tcPr>
          <w:p w14:paraId="4A0EEA15" w14:textId="77777777" w:rsidR="008423E4" w:rsidRPr="0022177D" w:rsidRDefault="006828AD" w:rsidP="002D02BF">
            <w:pPr>
              <w:pStyle w:val="Heading1"/>
            </w:pPr>
            <w:r w:rsidRPr="00631897">
              <w:t>BILL ANALYSIS</w:t>
            </w:r>
          </w:p>
        </w:tc>
      </w:tr>
    </w:tbl>
    <w:p w14:paraId="0C885E0E" w14:textId="77777777" w:rsidR="008423E4" w:rsidRPr="0022177D" w:rsidRDefault="008423E4" w:rsidP="002D02BF">
      <w:pPr>
        <w:jc w:val="center"/>
      </w:pPr>
    </w:p>
    <w:p w14:paraId="668D02D2" w14:textId="77777777" w:rsidR="008423E4" w:rsidRPr="00B31F0E" w:rsidRDefault="008423E4" w:rsidP="002D02BF"/>
    <w:p w14:paraId="4AB213EC" w14:textId="77777777" w:rsidR="008423E4" w:rsidRPr="00742794" w:rsidRDefault="008423E4" w:rsidP="002D02B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7113" w14:paraId="6CCE7469" w14:textId="77777777" w:rsidTr="00345119">
        <w:tc>
          <w:tcPr>
            <w:tcW w:w="9576" w:type="dxa"/>
          </w:tcPr>
          <w:p w14:paraId="2CB31236" w14:textId="19E44F41" w:rsidR="008423E4" w:rsidRPr="00861995" w:rsidRDefault="006828AD" w:rsidP="002D02BF">
            <w:pPr>
              <w:jc w:val="right"/>
            </w:pPr>
            <w:r>
              <w:t>C.S.H.B. 4219</w:t>
            </w:r>
          </w:p>
        </w:tc>
      </w:tr>
      <w:tr w:rsidR="00D87113" w14:paraId="1C88FB04" w14:textId="77777777" w:rsidTr="00345119">
        <w:tc>
          <w:tcPr>
            <w:tcW w:w="9576" w:type="dxa"/>
          </w:tcPr>
          <w:p w14:paraId="4754D555" w14:textId="23AF03AD" w:rsidR="008423E4" w:rsidRPr="00861995" w:rsidRDefault="006828AD" w:rsidP="002D02BF">
            <w:pPr>
              <w:jc w:val="right"/>
            </w:pPr>
            <w:r>
              <w:t xml:space="preserve">By: </w:t>
            </w:r>
            <w:r w:rsidR="00AF305D">
              <w:t>Lambert</w:t>
            </w:r>
          </w:p>
        </w:tc>
      </w:tr>
      <w:tr w:rsidR="00D87113" w14:paraId="3AA41788" w14:textId="77777777" w:rsidTr="00345119">
        <w:tc>
          <w:tcPr>
            <w:tcW w:w="9576" w:type="dxa"/>
          </w:tcPr>
          <w:p w14:paraId="4E1299D3" w14:textId="40A28CDC" w:rsidR="008423E4" w:rsidRPr="00861995" w:rsidRDefault="006828AD" w:rsidP="002D02BF">
            <w:pPr>
              <w:jc w:val="right"/>
            </w:pPr>
            <w:r>
              <w:t>Pensions, Investments &amp; Financial Services</w:t>
            </w:r>
          </w:p>
        </w:tc>
      </w:tr>
      <w:tr w:rsidR="00D87113" w14:paraId="3E769827" w14:textId="77777777" w:rsidTr="00345119">
        <w:tc>
          <w:tcPr>
            <w:tcW w:w="9576" w:type="dxa"/>
          </w:tcPr>
          <w:p w14:paraId="44279B1E" w14:textId="34F26CE0" w:rsidR="008423E4" w:rsidRDefault="006828AD" w:rsidP="002D02BF">
            <w:pPr>
              <w:jc w:val="right"/>
            </w:pPr>
            <w:r>
              <w:t>Committee Report (Substituted)</w:t>
            </w:r>
          </w:p>
        </w:tc>
      </w:tr>
    </w:tbl>
    <w:p w14:paraId="66B7EA3B" w14:textId="77777777" w:rsidR="008423E4" w:rsidRDefault="008423E4" w:rsidP="002D02BF">
      <w:pPr>
        <w:tabs>
          <w:tab w:val="right" w:pos="9360"/>
        </w:tabs>
      </w:pPr>
    </w:p>
    <w:p w14:paraId="38A1C003" w14:textId="77777777" w:rsidR="008423E4" w:rsidRDefault="008423E4" w:rsidP="002D02BF"/>
    <w:p w14:paraId="3050001E" w14:textId="77777777" w:rsidR="008423E4" w:rsidRDefault="008423E4" w:rsidP="002D02B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87113" w14:paraId="3C6C0FE1" w14:textId="77777777" w:rsidTr="00345119">
        <w:tc>
          <w:tcPr>
            <w:tcW w:w="9576" w:type="dxa"/>
          </w:tcPr>
          <w:p w14:paraId="08214E40" w14:textId="77777777" w:rsidR="008423E4" w:rsidRPr="00A8133F" w:rsidRDefault="006828AD" w:rsidP="002D02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0C3AE71" w14:textId="77777777" w:rsidR="008423E4" w:rsidRDefault="008423E4" w:rsidP="002D02BF"/>
          <w:p w14:paraId="4E2044CD" w14:textId="77777777" w:rsidR="008423E4" w:rsidRDefault="006828AD" w:rsidP="002D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</w:t>
            </w:r>
            <w:r w:rsidR="005C3A85">
              <w:t xml:space="preserve">ising inflation rates have increased many Texans' need for access to safe and affordable credit </w:t>
            </w:r>
            <w:r>
              <w:t>in the form of consumer loans</w:t>
            </w:r>
            <w:r w:rsidR="005C3A85">
              <w:t xml:space="preserve">. </w:t>
            </w:r>
            <w:r w:rsidR="0000292C">
              <w:t>Unfortunately</w:t>
            </w:r>
            <w:r w:rsidR="005C3A85">
              <w:t xml:space="preserve">, credit availability has tightened, and </w:t>
            </w:r>
            <w:r>
              <w:t>many</w:t>
            </w:r>
            <w:r w:rsidR="005C3A85">
              <w:t xml:space="preserve"> Texans who seek </w:t>
            </w:r>
            <w:r>
              <w:t xml:space="preserve">consumer </w:t>
            </w:r>
            <w:r w:rsidR="005C3A85">
              <w:t xml:space="preserve">loans </w:t>
            </w:r>
            <w:r>
              <w:t xml:space="preserve">that are not secured by real property </w:t>
            </w:r>
            <w:r w:rsidR="005C3A85">
              <w:t xml:space="preserve">are being turned away. Those unable to obtain a loan from lenders </w:t>
            </w:r>
            <w:r>
              <w:t xml:space="preserve">of such loans </w:t>
            </w:r>
            <w:r w:rsidR="005C3A85">
              <w:t>still need credit and are subsequently pushed into unregulated loans offered on the internet and to other high</w:t>
            </w:r>
            <w:r w:rsidR="00C141B9">
              <w:t>-</w:t>
            </w:r>
            <w:r w:rsidR="005C3A85">
              <w:t xml:space="preserve">cost alternatives. </w:t>
            </w:r>
            <w:r w:rsidR="00C141B9">
              <w:t>C.S.H.B.</w:t>
            </w:r>
            <w:r w:rsidR="005C3A85">
              <w:t xml:space="preserve"> 4219 </w:t>
            </w:r>
            <w:r w:rsidR="00C141B9">
              <w:t xml:space="preserve">seeks to </w:t>
            </w:r>
            <w:r w:rsidR="005C3A85">
              <w:t>increas</w:t>
            </w:r>
            <w:r w:rsidR="00C141B9">
              <w:t>e</w:t>
            </w:r>
            <w:r w:rsidR="005C3A85">
              <w:t xml:space="preserve"> the credit available to Texas borrowers from lenders regulated </w:t>
            </w:r>
            <w:r w:rsidR="0000292C">
              <w:t xml:space="preserve">by </w:t>
            </w:r>
            <w:r w:rsidR="00C141B9">
              <w:t>state law with respect to consumer loans not secured by real property</w:t>
            </w:r>
            <w:r w:rsidR="005C3A85">
              <w:t xml:space="preserve"> by more closely aligning existing statutory rate caps to the cost of obtaining funds as reflected by the </w:t>
            </w:r>
            <w:r w:rsidR="00C141B9">
              <w:t>f</w:t>
            </w:r>
            <w:r w:rsidR="005C3A85">
              <w:t>ed</w:t>
            </w:r>
            <w:r w:rsidR="00C141B9">
              <w:t>eral</w:t>
            </w:r>
            <w:r w:rsidR="005C3A85">
              <w:t xml:space="preserve"> </w:t>
            </w:r>
            <w:r w:rsidR="00C141B9">
              <w:t>f</w:t>
            </w:r>
            <w:r w:rsidR="005C3A85">
              <w:t xml:space="preserve">unds </w:t>
            </w:r>
            <w:r w:rsidR="00C141B9">
              <w:t>r</w:t>
            </w:r>
            <w:r w:rsidR="005C3A85">
              <w:t>ate</w:t>
            </w:r>
            <w:r w:rsidR="00C141B9">
              <w:t>, which</w:t>
            </w:r>
            <w:r w:rsidR="005C3A85">
              <w:t xml:space="preserve"> would account for fluctuations in </w:t>
            </w:r>
            <w:r w:rsidR="00184A10">
              <w:t xml:space="preserve">such </w:t>
            </w:r>
            <w:r w:rsidR="005C3A85">
              <w:t>cost</w:t>
            </w:r>
            <w:r w:rsidR="00184A10">
              <w:t>s</w:t>
            </w:r>
            <w:r w:rsidR="005C3A85">
              <w:t xml:space="preserve"> while maintaining the rate structure deemed appropriate by policymakers. </w:t>
            </w:r>
          </w:p>
          <w:p w14:paraId="3E32C2E8" w14:textId="1B921444" w:rsidR="002D02BF" w:rsidRPr="00E26B13" w:rsidRDefault="002D02BF" w:rsidP="002D02B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87113" w14:paraId="57464DFF" w14:textId="77777777" w:rsidTr="00345119">
        <w:tc>
          <w:tcPr>
            <w:tcW w:w="9576" w:type="dxa"/>
          </w:tcPr>
          <w:p w14:paraId="18A9FD2A" w14:textId="77777777" w:rsidR="0017725B" w:rsidRDefault="006828AD" w:rsidP="002D02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C61E03E" w14:textId="77777777" w:rsidR="0017725B" w:rsidRDefault="0017725B" w:rsidP="002D02BF">
            <w:pPr>
              <w:rPr>
                <w:b/>
                <w:u w:val="single"/>
              </w:rPr>
            </w:pPr>
          </w:p>
          <w:p w14:paraId="421911D6" w14:textId="56CE10A3" w:rsidR="002A10E9" w:rsidRPr="002A10E9" w:rsidRDefault="006828AD" w:rsidP="002D02BF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14:paraId="148BEE6B" w14:textId="77777777" w:rsidR="0017725B" w:rsidRPr="0017725B" w:rsidRDefault="0017725B" w:rsidP="002D02BF">
            <w:pPr>
              <w:rPr>
                <w:b/>
                <w:u w:val="single"/>
              </w:rPr>
            </w:pPr>
          </w:p>
        </w:tc>
      </w:tr>
      <w:tr w:rsidR="00D87113" w14:paraId="63393DBF" w14:textId="77777777" w:rsidTr="00345119">
        <w:tc>
          <w:tcPr>
            <w:tcW w:w="9576" w:type="dxa"/>
          </w:tcPr>
          <w:p w14:paraId="3F2B0248" w14:textId="77777777" w:rsidR="008423E4" w:rsidRPr="00A8133F" w:rsidRDefault="006828AD" w:rsidP="002D02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0036B68" w14:textId="77777777" w:rsidR="008423E4" w:rsidRDefault="008423E4" w:rsidP="002D02BF"/>
          <w:p w14:paraId="27F29630" w14:textId="20786FBA" w:rsidR="002A10E9" w:rsidRDefault="006828AD" w:rsidP="002D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14:paraId="7C5BA797" w14:textId="77777777" w:rsidR="008423E4" w:rsidRPr="00E21FDC" w:rsidRDefault="008423E4" w:rsidP="002D02BF">
            <w:pPr>
              <w:rPr>
                <w:b/>
              </w:rPr>
            </w:pPr>
          </w:p>
        </w:tc>
      </w:tr>
      <w:tr w:rsidR="00D87113" w14:paraId="4A2877C3" w14:textId="77777777" w:rsidTr="00345119">
        <w:tc>
          <w:tcPr>
            <w:tcW w:w="9576" w:type="dxa"/>
          </w:tcPr>
          <w:p w14:paraId="2602A5D3" w14:textId="77777777" w:rsidR="008423E4" w:rsidRPr="00A8133F" w:rsidRDefault="006828AD" w:rsidP="002D02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EA05689" w14:textId="77777777" w:rsidR="008423E4" w:rsidRDefault="008423E4" w:rsidP="002D02BF"/>
          <w:p w14:paraId="62BF3AD7" w14:textId="4B1CAFEF" w:rsidR="005C7DC7" w:rsidRDefault="006828AD" w:rsidP="002D02BF">
            <w:pPr>
              <w:pStyle w:val="Header"/>
              <w:jc w:val="both"/>
            </w:pPr>
            <w:r>
              <w:t>C.S.</w:t>
            </w:r>
            <w:r w:rsidR="003635FE">
              <w:t xml:space="preserve">H.B. 4219 </w:t>
            </w:r>
            <w:r w:rsidR="00F9173A">
              <w:t xml:space="preserve">amends the Finance Code to require </w:t>
            </w:r>
            <w:r w:rsidR="00F9173A" w:rsidRPr="00F9173A">
              <w:t>the consumer credit commissioner</w:t>
            </w:r>
            <w:r w:rsidR="00185BE7">
              <w:t xml:space="preserve">, on </w:t>
            </w:r>
            <w:r>
              <w:t xml:space="preserve">March 1 and </w:t>
            </w:r>
            <w:r w:rsidR="00185BE7">
              <w:t>September 1 of each year,</w:t>
            </w:r>
            <w:r w:rsidR="00F9173A">
              <w:t xml:space="preserve"> to </w:t>
            </w:r>
            <w:r w:rsidR="00F9173A" w:rsidRPr="00F9173A">
              <w:t xml:space="preserve">compute the ceilings </w:t>
            </w:r>
            <w:r w:rsidR="00D65DCE">
              <w:t>for a rate or amount of interest that may be provided by</w:t>
            </w:r>
            <w:r w:rsidR="00185BE7">
              <w:t xml:space="preserve"> a consumer loan contract that is not secured by real property </w:t>
            </w:r>
            <w:r w:rsidR="00F9173A" w:rsidRPr="00F9173A">
              <w:t xml:space="preserve">for the </w:t>
            </w:r>
            <w:r>
              <w:t>six-month</w:t>
            </w:r>
            <w:r w:rsidR="00F9173A" w:rsidRPr="00F9173A">
              <w:t xml:space="preserve"> </w:t>
            </w:r>
            <w:r>
              <w:t xml:space="preserve">period </w:t>
            </w:r>
            <w:r w:rsidR="00F9173A" w:rsidRPr="00F9173A">
              <w:t xml:space="preserve">effective the following </w:t>
            </w:r>
            <w:r w:rsidRPr="00F9173A">
              <w:t>May 1</w:t>
            </w:r>
            <w:r>
              <w:t xml:space="preserve"> and </w:t>
            </w:r>
            <w:r w:rsidR="00F9173A" w:rsidRPr="00F9173A">
              <w:t xml:space="preserve">November </w:t>
            </w:r>
            <w:r>
              <w:t>1</w:t>
            </w:r>
            <w:r w:rsidR="00F9173A" w:rsidRPr="00F9173A">
              <w:t xml:space="preserve">, respectively. The </w:t>
            </w:r>
            <w:r w:rsidR="00F9173A">
              <w:t xml:space="preserve">bill establishes that </w:t>
            </w:r>
            <w:r w:rsidR="006422CE">
              <w:t xml:space="preserve">those </w:t>
            </w:r>
            <w:r w:rsidR="00F9173A" w:rsidRPr="00F9173A">
              <w:t xml:space="preserve">ceilings </w:t>
            </w:r>
            <w:r>
              <w:t>are</w:t>
            </w:r>
            <w:r w:rsidRPr="00F9173A">
              <w:t xml:space="preserve"> </w:t>
            </w:r>
            <w:r w:rsidR="00F9173A" w:rsidRPr="00F9173A">
              <w:t>effective for</w:t>
            </w:r>
            <w:r>
              <w:t xml:space="preserve"> the</w:t>
            </w:r>
            <w:r w:rsidR="00F9173A" w:rsidRPr="00F9173A">
              <w:t xml:space="preserve"> six</w:t>
            </w:r>
            <w:r w:rsidR="00A15F2E">
              <w:t>-</w:t>
            </w:r>
            <w:r w:rsidR="00F9173A" w:rsidRPr="00F9173A">
              <w:t>month period</w:t>
            </w:r>
            <w:r>
              <w:t xml:space="preserve"> </w:t>
            </w:r>
            <w:r w:rsidR="00F9173A" w:rsidRPr="00F9173A">
              <w:t>beginning on the effective date and are subject to adjustment after each six</w:t>
            </w:r>
            <w:r w:rsidR="00A15F2E">
              <w:t>-</w:t>
            </w:r>
            <w:r w:rsidR="00F9173A" w:rsidRPr="00F9173A">
              <w:t>month period.</w:t>
            </w:r>
            <w:r w:rsidR="00F521DC">
              <w:t xml:space="preserve"> </w:t>
            </w:r>
            <w:r>
              <w:t xml:space="preserve">The bill </w:t>
            </w:r>
            <w:r w:rsidR="006A37DD">
              <w:t>revises the method of calculating</w:t>
            </w:r>
            <w:r>
              <w:t xml:space="preserve"> the ceilings by </w:t>
            </w:r>
            <w:r w:rsidR="006A37DD">
              <w:t>adding the federal funds rate to each of the existing percentages in that calculation. For purposes of calculat</w:t>
            </w:r>
            <w:r w:rsidR="00B049F4">
              <w:t>ing</w:t>
            </w:r>
            <w:r w:rsidR="006A37DD">
              <w:t xml:space="preserve"> the ceilings, the bill defines</w:t>
            </w:r>
            <w:r>
              <w:t xml:space="preserve"> </w:t>
            </w:r>
            <w:r w:rsidR="006A37DD">
              <w:t>"f</w:t>
            </w:r>
            <w:r>
              <w:t xml:space="preserve">ederal </w:t>
            </w:r>
            <w:r w:rsidR="006A37DD">
              <w:t>f</w:t>
            </w:r>
            <w:r>
              <w:t>unds rate</w:t>
            </w:r>
            <w:r w:rsidR="006A37DD">
              <w:t>" as an interest rate computed by averaging the federal funds rates</w:t>
            </w:r>
            <w:r>
              <w:t xml:space="preserve"> published by the Federal Reserve Bank of New York for each day durin</w:t>
            </w:r>
            <w:r>
              <w:t xml:space="preserve">g the six calendar months preceding the computation date of the ceilings, except </w:t>
            </w:r>
            <w:r w:rsidR="00B049F4">
              <w:t>as follows</w:t>
            </w:r>
            <w:r>
              <w:t>:</w:t>
            </w:r>
          </w:p>
          <w:p w14:paraId="5D413C12" w14:textId="386C06BA" w:rsidR="005C7DC7" w:rsidRDefault="006828AD" w:rsidP="002D02BF">
            <w:pPr>
              <w:pStyle w:val="Header"/>
              <w:numPr>
                <w:ilvl w:val="0"/>
                <w:numId w:val="2"/>
              </w:numPr>
              <w:jc w:val="both"/>
            </w:pPr>
            <w:r>
              <w:t>if the average is greater than five percent, the federal funds rate is five percent; and</w:t>
            </w:r>
          </w:p>
          <w:p w14:paraId="0626DFF6" w14:textId="6F071BD2" w:rsidR="005C7DC7" w:rsidRDefault="006828AD" w:rsidP="002D02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if the average is less than zero percent, the federal funds rate is zero p</w:t>
            </w:r>
            <w:r>
              <w:t>ercent.</w:t>
            </w:r>
          </w:p>
          <w:p w14:paraId="2E106B85" w14:textId="2AEB11FA" w:rsidR="007E65CC" w:rsidRDefault="006828AD" w:rsidP="002D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the commissioner to submit </w:t>
            </w:r>
            <w:r w:rsidR="00D65DCE">
              <w:t xml:space="preserve">the computed ceilings </w:t>
            </w:r>
            <w:r>
              <w:t xml:space="preserve">to the secretary of state </w:t>
            </w:r>
            <w:r w:rsidRPr="00E5445D">
              <w:t>for publication in the Texas Register not later than the 11th day after the date on which the ceiling is computed.</w:t>
            </w:r>
          </w:p>
          <w:p w14:paraId="7E02926C" w14:textId="77777777" w:rsidR="007E65CC" w:rsidRDefault="007E65CC" w:rsidP="002D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8249929" w14:textId="4EDB864B" w:rsidR="009C36CD" w:rsidRPr="009C36CD" w:rsidRDefault="006828AD" w:rsidP="002D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E65CC">
              <w:t>H.B. 4219</w:t>
            </w:r>
            <w:r w:rsidR="002A10E9">
              <w:t xml:space="preserve"> applies </w:t>
            </w:r>
            <w:r w:rsidR="002A10E9" w:rsidRPr="002A10E9">
              <w:t xml:space="preserve">only to a loan made on or after the </w:t>
            </w:r>
            <w:r w:rsidR="002A10E9">
              <w:t xml:space="preserve">bill's </w:t>
            </w:r>
            <w:r w:rsidR="002A10E9" w:rsidRPr="002A10E9">
              <w:t>effective date</w:t>
            </w:r>
            <w:r w:rsidR="00B529AF">
              <w:t xml:space="preserve"> and establishes that, for purposes of </w:t>
            </w:r>
            <w:r w:rsidR="007E65CC">
              <w:t>its applicability</w:t>
            </w:r>
            <w:r w:rsidR="00B529AF">
              <w:t>, a refinance or renewal of a loan is considered made on the date the loan being refinanced or renewed was made</w:t>
            </w:r>
            <w:r w:rsidR="002A10E9">
              <w:t>.</w:t>
            </w:r>
          </w:p>
          <w:p w14:paraId="2F14C078" w14:textId="77777777" w:rsidR="008423E4" w:rsidRPr="00835628" w:rsidRDefault="008423E4" w:rsidP="002D02BF">
            <w:pPr>
              <w:rPr>
                <w:b/>
              </w:rPr>
            </w:pPr>
          </w:p>
        </w:tc>
      </w:tr>
      <w:tr w:rsidR="00D87113" w14:paraId="14EE51D2" w14:textId="77777777" w:rsidTr="00345119">
        <w:tc>
          <w:tcPr>
            <w:tcW w:w="9576" w:type="dxa"/>
          </w:tcPr>
          <w:p w14:paraId="0D874836" w14:textId="77777777" w:rsidR="008423E4" w:rsidRPr="00A8133F" w:rsidRDefault="006828AD" w:rsidP="002D02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9EA0754" w14:textId="77777777" w:rsidR="008423E4" w:rsidRDefault="008423E4" w:rsidP="002D02BF"/>
          <w:p w14:paraId="4227CE79" w14:textId="3A612B83" w:rsidR="008423E4" w:rsidRPr="003624F2" w:rsidRDefault="006828AD" w:rsidP="002D02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0C28D133" w14:textId="77777777" w:rsidR="008423E4" w:rsidRPr="00233FDB" w:rsidRDefault="008423E4" w:rsidP="002D02BF">
            <w:pPr>
              <w:rPr>
                <w:b/>
              </w:rPr>
            </w:pPr>
          </w:p>
        </w:tc>
      </w:tr>
      <w:tr w:rsidR="00D87113" w14:paraId="08221F1F" w14:textId="77777777" w:rsidTr="00345119">
        <w:tc>
          <w:tcPr>
            <w:tcW w:w="9576" w:type="dxa"/>
          </w:tcPr>
          <w:p w14:paraId="241B2430" w14:textId="77777777" w:rsidR="00AF305D" w:rsidRDefault="006828AD" w:rsidP="002D02B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09B31B47" w14:textId="77777777" w:rsidR="00B91933" w:rsidRDefault="00B91933" w:rsidP="002D02BF">
            <w:pPr>
              <w:jc w:val="both"/>
            </w:pPr>
          </w:p>
          <w:p w14:paraId="658F87CF" w14:textId="3338853A" w:rsidR="00B91933" w:rsidRDefault="006828AD" w:rsidP="002D02BF">
            <w:pPr>
              <w:jc w:val="both"/>
            </w:pPr>
            <w:r>
              <w:t>While C.S.H.B. 4219 may differ from the introduced in minor or nonsubstantive ways, the following summarizes the substantial differences between the introduced and committee substitute versions of the bill.</w:t>
            </w:r>
          </w:p>
          <w:p w14:paraId="1A5BDE3C" w14:textId="5169674E" w:rsidR="00B91933" w:rsidRDefault="00B91933" w:rsidP="002D02BF">
            <w:pPr>
              <w:jc w:val="both"/>
            </w:pPr>
          </w:p>
          <w:p w14:paraId="2DE4C8F4" w14:textId="57448407" w:rsidR="00525912" w:rsidRDefault="006828AD" w:rsidP="002D02BF">
            <w:pPr>
              <w:jc w:val="both"/>
            </w:pPr>
            <w:r>
              <w:t>While b</w:t>
            </w:r>
            <w:r>
              <w:t>oth the introduced and the substitute require the commissioner to periodically recompute the ceilings, t</w:t>
            </w:r>
            <w:r w:rsidR="00B91933">
              <w:t xml:space="preserve">he substitute changes the </w:t>
            </w:r>
            <w:r>
              <w:t xml:space="preserve">period for which the commissioner must do so </w:t>
            </w:r>
            <w:r w:rsidR="00B91933">
              <w:t xml:space="preserve">from </w:t>
            </w:r>
            <w:r>
              <w:t xml:space="preserve">the applicable </w:t>
            </w:r>
            <w:r w:rsidR="00B91933">
              <w:t xml:space="preserve">calendar quarter, as in the introduced, to </w:t>
            </w:r>
            <w:r>
              <w:t xml:space="preserve">the </w:t>
            </w:r>
            <w:r>
              <w:t>applicable</w:t>
            </w:r>
            <w:r w:rsidR="00B91933">
              <w:t xml:space="preserve"> six-month period. </w:t>
            </w:r>
          </w:p>
          <w:p w14:paraId="4C6CFD6A" w14:textId="77777777" w:rsidR="00525912" w:rsidRDefault="00525912" w:rsidP="002D02BF">
            <w:pPr>
              <w:jc w:val="both"/>
            </w:pPr>
          </w:p>
          <w:p w14:paraId="53AD0E6D" w14:textId="065E6D12" w:rsidR="00B91933" w:rsidRDefault="006828AD" w:rsidP="002D02BF">
            <w:pPr>
              <w:jc w:val="both"/>
            </w:pPr>
            <w:r>
              <w:t>Whereas the int</w:t>
            </w:r>
            <w:r w:rsidR="00EA0383">
              <w:t>roduc</w:t>
            </w:r>
            <w:r>
              <w:t>e</w:t>
            </w:r>
            <w:r w:rsidR="00EA0383">
              <w:t xml:space="preserve">d required a </w:t>
            </w:r>
            <w:r w:rsidR="00EA0383" w:rsidRPr="00EA0383">
              <w:t xml:space="preserve">ceiling </w:t>
            </w:r>
            <w:r w:rsidR="00EA0383">
              <w:t>to</w:t>
            </w:r>
            <w:r w:rsidR="00EA0383" w:rsidRPr="00EA0383">
              <w:t xml:space="preserve"> be published before the 11th day after the date on which </w:t>
            </w:r>
            <w:r w:rsidR="00EA0383">
              <w:t>it</w:t>
            </w:r>
            <w:r w:rsidR="00EA0383" w:rsidRPr="00EA0383">
              <w:t xml:space="preserve"> is computed</w:t>
            </w:r>
            <w:r w:rsidR="00EA0383">
              <w:t>,</w:t>
            </w:r>
            <w:r w:rsidR="00EA0383" w:rsidRPr="00EA0383">
              <w:t xml:space="preserve"> </w:t>
            </w:r>
            <w:r w:rsidR="00EA0383">
              <w:t>t</w:t>
            </w:r>
            <w:r>
              <w:t xml:space="preserve">he substitute </w:t>
            </w:r>
            <w:r w:rsidR="00EA0383">
              <w:t xml:space="preserve">requires </w:t>
            </w:r>
            <w:r>
              <w:t>the commissioner</w:t>
            </w:r>
            <w:r w:rsidR="00EA0383">
              <w:t xml:space="preserve"> </w:t>
            </w:r>
            <w:r w:rsidR="00B97783">
              <w:t xml:space="preserve">to </w:t>
            </w:r>
            <w:r w:rsidR="00EA0383" w:rsidRPr="00EA0383">
              <w:t xml:space="preserve">submit </w:t>
            </w:r>
            <w:r w:rsidR="00EA0383">
              <w:t>a</w:t>
            </w:r>
            <w:r w:rsidR="00EA0383" w:rsidRPr="00EA0383">
              <w:t xml:space="preserve"> ceiling to the secretary of state for publication in the Texas Register not later than the 11th day after the date on which </w:t>
            </w:r>
            <w:r w:rsidR="00EA0383">
              <w:t>it is</w:t>
            </w:r>
            <w:r w:rsidR="00EA0383" w:rsidRPr="00EA0383">
              <w:t xml:space="preserve"> computed</w:t>
            </w:r>
            <w:r>
              <w:t xml:space="preserve">. The substitute defines "ceiling" as the maximum </w:t>
            </w:r>
            <w:r w:rsidR="00B97783">
              <w:t>r</w:t>
            </w:r>
            <w:r>
              <w:t xml:space="preserve">ate or amount of interest, </w:t>
            </w:r>
            <w:r w:rsidR="00EA0383">
              <w:t xml:space="preserve">which was not included in </w:t>
            </w:r>
            <w:r>
              <w:t xml:space="preserve">the introduced. </w:t>
            </w:r>
          </w:p>
          <w:p w14:paraId="3F023467" w14:textId="663852EB" w:rsidR="00153993" w:rsidRDefault="00153993" w:rsidP="002D02BF">
            <w:pPr>
              <w:jc w:val="both"/>
            </w:pPr>
          </w:p>
          <w:p w14:paraId="76968967" w14:textId="6F8AFC9D" w:rsidR="00B91933" w:rsidRPr="00B91933" w:rsidRDefault="006828AD" w:rsidP="002D02BF">
            <w:pPr>
              <w:jc w:val="both"/>
            </w:pPr>
            <w:r>
              <w:t>While both the introduced and the substitute defin</w:t>
            </w:r>
            <w:r>
              <w:t xml:space="preserve">e "federal funds rate" for purposes of calculating the ceilings, the introduced </w:t>
            </w:r>
            <w:r w:rsidR="00E52D5D">
              <w:t>specified</w:t>
            </w:r>
            <w:r>
              <w:t xml:space="preserve"> that the rate is published </w:t>
            </w:r>
            <w:r w:rsidRPr="00153993">
              <w:t xml:space="preserve">by the Board of Governors of the Federal Reserve System in </w:t>
            </w:r>
            <w:r>
              <w:t>its applicable</w:t>
            </w:r>
            <w:r w:rsidRPr="00153993">
              <w:t xml:space="preserve"> statistical release</w:t>
            </w:r>
            <w:r>
              <w:t>, whereas the substitute specifies that the ra</w:t>
            </w:r>
            <w:r>
              <w:t xml:space="preserve">te is </w:t>
            </w:r>
            <w:r w:rsidR="00E52D5D" w:rsidRPr="00E52D5D">
              <w:t>published by the Federal Reserve Bank of New York</w:t>
            </w:r>
            <w:r w:rsidR="00E52D5D">
              <w:t>.</w:t>
            </w:r>
          </w:p>
        </w:tc>
      </w:tr>
      <w:tr w:rsidR="00D87113" w14:paraId="58739083" w14:textId="77777777" w:rsidTr="00345119">
        <w:tc>
          <w:tcPr>
            <w:tcW w:w="9576" w:type="dxa"/>
          </w:tcPr>
          <w:p w14:paraId="36398A18" w14:textId="77777777" w:rsidR="00AF305D" w:rsidRPr="009C1E9A" w:rsidRDefault="00AF305D" w:rsidP="002D02BF">
            <w:pPr>
              <w:rPr>
                <w:b/>
                <w:u w:val="single"/>
              </w:rPr>
            </w:pPr>
          </w:p>
        </w:tc>
      </w:tr>
      <w:tr w:rsidR="00D87113" w14:paraId="5042EF71" w14:textId="77777777" w:rsidTr="00345119">
        <w:tc>
          <w:tcPr>
            <w:tcW w:w="9576" w:type="dxa"/>
          </w:tcPr>
          <w:p w14:paraId="7C186E0D" w14:textId="77777777" w:rsidR="00AF305D" w:rsidRPr="00AF305D" w:rsidRDefault="00AF305D" w:rsidP="002D02BF">
            <w:pPr>
              <w:jc w:val="both"/>
            </w:pPr>
          </w:p>
        </w:tc>
      </w:tr>
    </w:tbl>
    <w:p w14:paraId="15C592EC" w14:textId="77777777" w:rsidR="008423E4" w:rsidRPr="00BE0E75" w:rsidRDefault="008423E4" w:rsidP="002D02BF">
      <w:pPr>
        <w:jc w:val="both"/>
        <w:rPr>
          <w:rFonts w:ascii="Arial" w:hAnsi="Arial"/>
          <w:sz w:val="16"/>
          <w:szCs w:val="16"/>
        </w:rPr>
      </w:pPr>
    </w:p>
    <w:p w14:paraId="57A232F6" w14:textId="77777777" w:rsidR="004108C3" w:rsidRPr="008423E4" w:rsidRDefault="004108C3" w:rsidP="002D02B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E29A" w14:textId="77777777" w:rsidR="00000000" w:rsidRDefault="006828AD">
      <w:r>
        <w:separator/>
      </w:r>
    </w:p>
  </w:endnote>
  <w:endnote w:type="continuationSeparator" w:id="0">
    <w:p w14:paraId="168EB36A" w14:textId="77777777" w:rsidR="00000000" w:rsidRDefault="0068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FF19" w14:textId="77777777" w:rsidR="00C76482" w:rsidRDefault="00C76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7113" w14:paraId="5029413E" w14:textId="77777777" w:rsidTr="009C1E9A">
      <w:trPr>
        <w:cantSplit/>
      </w:trPr>
      <w:tc>
        <w:tcPr>
          <w:tcW w:w="0" w:type="pct"/>
        </w:tcPr>
        <w:p w14:paraId="366E86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2F96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19C0FB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14CD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81CB3C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7113" w14:paraId="23B37A96" w14:textId="77777777" w:rsidTr="009C1E9A">
      <w:trPr>
        <w:cantSplit/>
      </w:trPr>
      <w:tc>
        <w:tcPr>
          <w:tcW w:w="0" w:type="pct"/>
        </w:tcPr>
        <w:p w14:paraId="59B8B5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1B92C3" w14:textId="1605E3F4" w:rsidR="00EC379B" w:rsidRPr="009C1E9A" w:rsidRDefault="006828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25631-D</w:t>
          </w:r>
        </w:p>
      </w:tc>
      <w:tc>
        <w:tcPr>
          <w:tcW w:w="2453" w:type="pct"/>
        </w:tcPr>
        <w:p w14:paraId="22DA1710" w14:textId="2980FD36" w:rsidR="00EC379B" w:rsidRDefault="006828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D02BF">
            <w:t>23.114.1660</w:t>
          </w:r>
          <w:r>
            <w:fldChar w:fldCharType="end"/>
          </w:r>
        </w:p>
      </w:tc>
    </w:tr>
    <w:tr w:rsidR="00D87113" w14:paraId="49BEE9A7" w14:textId="77777777" w:rsidTr="009C1E9A">
      <w:trPr>
        <w:cantSplit/>
      </w:trPr>
      <w:tc>
        <w:tcPr>
          <w:tcW w:w="0" w:type="pct"/>
        </w:tcPr>
        <w:p w14:paraId="377281B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EE63BCB" w14:textId="3702B8ED" w:rsidR="00EC379B" w:rsidRPr="009C1E9A" w:rsidRDefault="006828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12989</w:t>
          </w:r>
        </w:p>
      </w:tc>
      <w:tc>
        <w:tcPr>
          <w:tcW w:w="2453" w:type="pct"/>
        </w:tcPr>
        <w:p w14:paraId="2190A21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4A6B0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7113" w14:paraId="2E3ABDF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C169072" w14:textId="77777777" w:rsidR="00EC379B" w:rsidRDefault="006828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8B04B0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9724B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7145" w14:textId="77777777" w:rsidR="00C76482" w:rsidRDefault="00C76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A8E5" w14:textId="77777777" w:rsidR="00000000" w:rsidRDefault="006828AD">
      <w:r>
        <w:separator/>
      </w:r>
    </w:p>
  </w:footnote>
  <w:footnote w:type="continuationSeparator" w:id="0">
    <w:p w14:paraId="07E05BFA" w14:textId="77777777" w:rsidR="00000000" w:rsidRDefault="0068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032D" w14:textId="77777777" w:rsidR="00C76482" w:rsidRDefault="00C76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32AD" w14:textId="77777777" w:rsidR="00C76482" w:rsidRDefault="00C76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00CF" w14:textId="77777777" w:rsidR="00C76482" w:rsidRDefault="00C76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4E4"/>
    <w:multiLevelType w:val="hybridMultilevel"/>
    <w:tmpl w:val="88B05286"/>
    <w:lvl w:ilvl="0" w:tplc="62AE2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65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A1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0A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07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0A3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CE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80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6DA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D3F1D"/>
    <w:multiLevelType w:val="hybridMultilevel"/>
    <w:tmpl w:val="120E177C"/>
    <w:lvl w:ilvl="0" w:tplc="610436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538718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7E0677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30AB03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41C432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B9C83E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324BF3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1C29D5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65A69F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FE"/>
    <w:rsid w:val="00000A70"/>
    <w:rsid w:val="0000292C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5D49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3993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A10"/>
    <w:rsid w:val="00184B03"/>
    <w:rsid w:val="00185BE7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3FC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0E9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2BF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5FE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697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0CA6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912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3A85"/>
    <w:rsid w:val="005C4C6F"/>
    <w:rsid w:val="005C5127"/>
    <w:rsid w:val="005C7CCB"/>
    <w:rsid w:val="005C7DC7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2CE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28AD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37DD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1879"/>
    <w:rsid w:val="007E33B6"/>
    <w:rsid w:val="007E59E8"/>
    <w:rsid w:val="007E65CC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081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F2E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6456C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05D"/>
    <w:rsid w:val="00AF48B4"/>
    <w:rsid w:val="00AF4923"/>
    <w:rsid w:val="00AF7C74"/>
    <w:rsid w:val="00B000AF"/>
    <w:rsid w:val="00B049F4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26C69"/>
    <w:rsid w:val="00B30647"/>
    <w:rsid w:val="00B31F0E"/>
    <w:rsid w:val="00B34F25"/>
    <w:rsid w:val="00B43672"/>
    <w:rsid w:val="00B473D8"/>
    <w:rsid w:val="00B5165A"/>
    <w:rsid w:val="00B524C1"/>
    <w:rsid w:val="00B529AF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492"/>
    <w:rsid w:val="00B73BB4"/>
    <w:rsid w:val="00B80532"/>
    <w:rsid w:val="00B82039"/>
    <w:rsid w:val="00B82454"/>
    <w:rsid w:val="00B90097"/>
    <w:rsid w:val="00B90999"/>
    <w:rsid w:val="00B91933"/>
    <w:rsid w:val="00B91AD7"/>
    <w:rsid w:val="00B92D23"/>
    <w:rsid w:val="00B95BC8"/>
    <w:rsid w:val="00B96E87"/>
    <w:rsid w:val="00B97783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D9A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1B9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6F0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482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DCE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113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2D5D"/>
    <w:rsid w:val="00E5445D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383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1DC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D24"/>
    <w:rsid w:val="00F9173A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ED81DC-0977-43FD-A7FE-11575970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21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1D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1DC"/>
    <w:rPr>
      <w:b/>
      <w:bCs/>
    </w:rPr>
  </w:style>
  <w:style w:type="paragraph" w:styleId="Revision">
    <w:name w:val="Revision"/>
    <w:hidden/>
    <w:uiPriority w:val="99"/>
    <w:semiHidden/>
    <w:rsid w:val="00B529AF"/>
    <w:rPr>
      <w:sz w:val="24"/>
      <w:szCs w:val="24"/>
    </w:rPr>
  </w:style>
  <w:style w:type="character" w:styleId="Hyperlink">
    <w:name w:val="Hyperlink"/>
    <w:basedOn w:val="DefaultParagraphFont"/>
    <w:unhideWhenUsed/>
    <w:rsid w:val="007E65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3754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HB04219 (Committee Report (Substituted))</vt:lpstr>
    </vt:vector>
  </TitlesOfParts>
  <Company>State of Texas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25631</dc:subject>
  <dc:creator>State of Texas</dc:creator>
  <dc:description>HB 4219 by Lambert-(H)Pensions, Investments &amp; Financial Services (Substitute Document Number: 88R 12989)</dc:description>
  <cp:lastModifiedBy>Matthew Lee</cp:lastModifiedBy>
  <cp:revision>2</cp:revision>
  <cp:lastPrinted>2003-11-26T17:21:00Z</cp:lastPrinted>
  <dcterms:created xsi:type="dcterms:W3CDTF">2023-04-25T20:49:00Z</dcterms:created>
  <dcterms:modified xsi:type="dcterms:W3CDTF">2023-04-25T20:49:00Z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23.114.1660</vt:lpwstr>
  </property>
</Properties>
</file>