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72331" w14:paraId="1386D7FA" w14:textId="77777777" w:rsidTr="00345119">
        <w:tc>
          <w:tcPr>
            <w:tcW w:w="9576" w:type="dxa"/>
            <w:noWrap/>
          </w:tcPr>
          <w:p w14:paraId="74E515EB" w14:textId="77777777" w:rsidR="008423E4" w:rsidRPr="0022177D" w:rsidRDefault="00A141D8" w:rsidP="008E4492">
            <w:pPr>
              <w:pStyle w:val="Heading1"/>
            </w:pPr>
            <w:r w:rsidRPr="00631897">
              <w:t>BILL ANALYSIS</w:t>
            </w:r>
          </w:p>
        </w:tc>
      </w:tr>
    </w:tbl>
    <w:p w14:paraId="3718522F" w14:textId="77777777" w:rsidR="008423E4" w:rsidRPr="0022177D" w:rsidRDefault="008423E4" w:rsidP="008E4492">
      <w:pPr>
        <w:jc w:val="center"/>
      </w:pPr>
    </w:p>
    <w:p w14:paraId="3B15B00A" w14:textId="77777777" w:rsidR="008423E4" w:rsidRPr="00B31F0E" w:rsidRDefault="008423E4" w:rsidP="008E4492"/>
    <w:p w14:paraId="4A0F36BD" w14:textId="77777777" w:rsidR="008423E4" w:rsidRPr="00742794" w:rsidRDefault="008423E4" w:rsidP="008E449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72331" w14:paraId="42972936" w14:textId="77777777" w:rsidTr="00345119">
        <w:tc>
          <w:tcPr>
            <w:tcW w:w="9576" w:type="dxa"/>
          </w:tcPr>
          <w:p w14:paraId="44B3D8F6" w14:textId="419EFBE1" w:rsidR="008423E4" w:rsidRPr="00861995" w:rsidRDefault="00A141D8" w:rsidP="008E4492">
            <w:pPr>
              <w:jc w:val="right"/>
            </w:pPr>
            <w:r>
              <w:t>C.S.H.B. 4220</w:t>
            </w:r>
          </w:p>
        </w:tc>
      </w:tr>
      <w:tr w:rsidR="00072331" w14:paraId="07ECA73D" w14:textId="77777777" w:rsidTr="00345119">
        <w:tc>
          <w:tcPr>
            <w:tcW w:w="9576" w:type="dxa"/>
          </w:tcPr>
          <w:p w14:paraId="3C14E046" w14:textId="153186C3" w:rsidR="008423E4" w:rsidRPr="00861995" w:rsidRDefault="00A141D8" w:rsidP="008E4492">
            <w:pPr>
              <w:jc w:val="right"/>
            </w:pPr>
            <w:r>
              <w:t xml:space="preserve">By: </w:t>
            </w:r>
            <w:r w:rsidR="002B1C09">
              <w:t>Clardy</w:t>
            </w:r>
          </w:p>
        </w:tc>
      </w:tr>
      <w:tr w:rsidR="00072331" w14:paraId="389CDE73" w14:textId="77777777" w:rsidTr="00345119">
        <w:tc>
          <w:tcPr>
            <w:tcW w:w="9576" w:type="dxa"/>
          </w:tcPr>
          <w:p w14:paraId="1CD87F6B" w14:textId="48906033" w:rsidR="008423E4" w:rsidRPr="00861995" w:rsidRDefault="00A141D8" w:rsidP="008E4492">
            <w:pPr>
              <w:jc w:val="right"/>
            </w:pPr>
            <w:r>
              <w:t>Human Services</w:t>
            </w:r>
          </w:p>
        </w:tc>
      </w:tr>
      <w:tr w:rsidR="00072331" w14:paraId="4EFEA810" w14:textId="77777777" w:rsidTr="00345119">
        <w:tc>
          <w:tcPr>
            <w:tcW w:w="9576" w:type="dxa"/>
          </w:tcPr>
          <w:p w14:paraId="750EAC8E" w14:textId="12F472A2" w:rsidR="008423E4" w:rsidRDefault="00A141D8" w:rsidP="008E4492">
            <w:pPr>
              <w:jc w:val="right"/>
            </w:pPr>
            <w:r>
              <w:t>Committee Report (Substituted)</w:t>
            </w:r>
          </w:p>
        </w:tc>
      </w:tr>
    </w:tbl>
    <w:p w14:paraId="1A825DFC" w14:textId="77777777" w:rsidR="008423E4" w:rsidRDefault="008423E4" w:rsidP="008E4492">
      <w:pPr>
        <w:tabs>
          <w:tab w:val="right" w:pos="9360"/>
        </w:tabs>
      </w:pPr>
    </w:p>
    <w:p w14:paraId="165C3CCE" w14:textId="77777777" w:rsidR="008423E4" w:rsidRDefault="008423E4" w:rsidP="008E4492"/>
    <w:p w14:paraId="6B955D69" w14:textId="77777777" w:rsidR="008423E4" w:rsidRDefault="008423E4" w:rsidP="008E449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72331" w14:paraId="341482AC" w14:textId="77777777" w:rsidTr="00CB7ED4">
        <w:tc>
          <w:tcPr>
            <w:tcW w:w="9360" w:type="dxa"/>
          </w:tcPr>
          <w:p w14:paraId="5C2D7649" w14:textId="77777777" w:rsidR="008423E4" w:rsidRPr="00A8133F" w:rsidRDefault="00A141D8" w:rsidP="008E44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1FB326" w14:textId="77777777" w:rsidR="008423E4" w:rsidRDefault="008423E4" w:rsidP="008E4492"/>
          <w:p w14:paraId="76289078" w14:textId="7CC8EEE0" w:rsidR="008423E4" w:rsidRDefault="00A141D8" w:rsidP="008E44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A757E">
              <w:t xml:space="preserve">The </w:t>
            </w:r>
            <w:r>
              <w:t>s</w:t>
            </w:r>
            <w:r w:rsidRPr="000A757E">
              <w:t xml:space="preserve">tate </w:t>
            </w:r>
            <w:r>
              <w:t>long</w:t>
            </w:r>
            <w:r w:rsidR="0082203B">
              <w:t>-</w:t>
            </w:r>
            <w:r>
              <w:t>term</w:t>
            </w:r>
            <w:r w:rsidR="0082203B">
              <w:t xml:space="preserve"> </w:t>
            </w:r>
            <w:r>
              <w:t>care</w:t>
            </w:r>
            <w:r w:rsidRPr="000A757E">
              <w:t xml:space="preserve"> </w:t>
            </w:r>
            <w:r>
              <w:t>o</w:t>
            </w:r>
            <w:r w:rsidRPr="000A757E">
              <w:t xml:space="preserve">mbudsman is an advocate with a mandate to represent the interests of residents in nursing homes and assisted living facilities. The </w:t>
            </w:r>
            <w:r>
              <w:t xml:space="preserve">ombudsman's </w:t>
            </w:r>
            <w:r w:rsidRPr="000A757E">
              <w:t>office is aided by more than 100 full</w:t>
            </w:r>
            <w:r w:rsidR="009D2C6D">
              <w:t>-</w:t>
            </w:r>
            <w:r w:rsidRPr="000A757E">
              <w:t>time staff and nearly 300 volunteer ombudsmen. Long-term care providers, s</w:t>
            </w:r>
            <w:r w:rsidRPr="000A757E">
              <w:t xml:space="preserve">uch as nursing homes and assisted living facilities, are directed by state regulations to give </w:t>
            </w:r>
            <w:r>
              <w:t>the</w:t>
            </w:r>
            <w:r w:rsidRPr="000A757E">
              <w:t xml:space="preserve"> </w:t>
            </w:r>
            <w:r>
              <w:t>o</w:t>
            </w:r>
            <w:r w:rsidRPr="000A757E">
              <w:t xml:space="preserve">mbudsmen </w:t>
            </w:r>
            <w:r>
              <w:t>"</w:t>
            </w:r>
            <w:r w:rsidRPr="000A757E">
              <w:t>immediate, private, and unimpeded access</w:t>
            </w:r>
            <w:r>
              <w:t>"</w:t>
            </w:r>
            <w:r w:rsidRPr="000A757E">
              <w:t xml:space="preserve"> to residents, all areas of the facility, and resident records. </w:t>
            </w:r>
            <w:r>
              <w:t>State</w:t>
            </w:r>
            <w:r w:rsidRPr="000A757E">
              <w:t xml:space="preserve"> statute does not follow the federal</w:t>
            </w:r>
            <w:r w:rsidRPr="000A757E">
              <w:t xml:space="preserve"> rules for the types of records </w:t>
            </w:r>
            <w:r>
              <w:t>the</w:t>
            </w:r>
            <w:r w:rsidRPr="000A757E">
              <w:t xml:space="preserve"> </w:t>
            </w:r>
            <w:r>
              <w:t>o</w:t>
            </w:r>
            <w:r w:rsidRPr="000A757E">
              <w:t>mbudsmen may request from providers, and this ambiguity causes confusion for both providers and the volunteer ombudsm</w:t>
            </w:r>
            <w:r>
              <w:t>e</w:t>
            </w:r>
            <w:r w:rsidRPr="000A757E">
              <w:t xml:space="preserve">n. Unlike other governmental agencies, the </w:t>
            </w:r>
            <w:r>
              <w:t>s</w:t>
            </w:r>
            <w:r w:rsidRPr="000A757E">
              <w:t xml:space="preserve">tate </w:t>
            </w:r>
            <w:r>
              <w:t>l</w:t>
            </w:r>
            <w:r w:rsidRPr="000A757E">
              <w:t>ong-</w:t>
            </w:r>
            <w:r>
              <w:t>t</w:t>
            </w:r>
            <w:r w:rsidRPr="000A757E">
              <w:t xml:space="preserve">erm </w:t>
            </w:r>
            <w:r>
              <w:t>c</w:t>
            </w:r>
            <w:r w:rsidRPr="000A757E">
              <w:t xml:space="preserve">are </w:t>
            </w:r>
            <w:r>
              <w:t>o</w:t>
            </w:r>
            <w:r w:rsidRPr="000A757E">
              <w:t>mbudsman testifies for and against l</w:t>
            </w:r>
            <w:r w:rsidRPr="000A757E">
              <w:t>egislation and advocates for rules changes at the Health and Human Services Commission</w:t>
            </w:r>
            <w:r>
              <w:t xml:space="preserve"> (HHSC)</w:t>
            </w:r>
            <w:r w:rsidRPr="000A757E">
              <w:t xml:space="preserve">. The </w:t>
            </w:r>
            <w:r>
              <w:t>ombudsman's o</w:t>
            </w:r>
            <w:r w:rsidRPr="000A757E">
              <w:t xml:space="preserve">ffice releases a yearly report detailing some of these activities, but the office does not currently summarize or keep a public record of which </w:t>
            </w:r>
            <w:r w:rsidRPr="000A757E">
              <w:t xml:space="preserve">positions it has taken. </w:t>
            </w:r>
            <w:r>
              <w:t>C.S.H.B. 4220 seeks to r</w:t>
            </w:r>
            <w:r w:rsidRPr="000A757E">
              <w:t>eestablish the clear lines between HHSC</w:t>
            </w:r>
            <w:r>
              <w:t>'</w:t>
            </w:r>
            <w:r w:rsidRPr="000A757E">
              <w:t>s job as the state</w:t>
            </w:r>
            <w:r>
              <w:t>'</w:t>
            </w:r>
            <w:r w:rsidRPr="000A757E">
              <w:t xml:space="preserve">s enforcer of health and safety standards and the </w:t>
            </w:r>
            <w:r>
              <w:t>o</w:t>
            </w:r>
            <w:r w:rsidRPr="000A757E">
              <w:t>mbudsman</w:t>
            </w:r>
            <w:r>
              <w:t>'</w:t>
            </w:r>
            <w:r w:rsidRPr="000A757E">
              <w:t>s role as an advocate for residents</w:t>
            </w:r>
            <w:r>
              <w:t>;</w:t>
            </w:r>
            <w:r w:rsidRPr="000A757E">
              <w:t xml:space="preserve"> </w:t>
            </w:r>
            <w:r>
              <w:t>e</w:t>
            </w:r>
            <w:r w:rsidRPr="000A757E">
              <w:t>nsure that residents, families</w:t>
            </w:r>
            <w:r>
              <w:t>,</w:t>
            </w:r>
            <w:r w:rsidRPr="000A757E">
              <w:t xml:space="preserve"> and assisted living communities are able to rely on appropriate services from volunteer ombudsmen that are well trained</w:t>
            </w:r>
            <w:r>
              <w:t>; and</w:t>
            </w:r>
            <w:r w:rsidRPr="000A757E">
              <w:t xml:space="preserve"> </w:t>
            </w:r>
            <w:r>
              <w:t>a</w:t>
            </w:r>
            <w:r w:rsidRPr="000A757E">
              <w:t xml:space="preserve">llow families and residents to have a record of which </w:t>
            </w:r>
            <w:r>
              <w:t>o</w:t>
            </w:r>
            <w:r w:rsidRPr="000A757E">
              <w:t>mbudsman had access to the resident</w:t>
            </w:r>
            <w:r>
              <w:t>'</w:t>
            </w:r>
            <w:r w:rsidRPr="000A757E">
              <w:t>s sensitive information and that a res</w:t>
            </w:r>
            <w:r w:rsidRPr="000A757E">
              <w:t>ponsible party gave informed consent.</w:t>
            </w:r>
          </w:p>
          <w:p w14:paraId="0D3B395E" w14:textId="77777777" w:rsidR="008423E4" w:rsidRPr="00E26B13" w:rsidRDefault="008423E4" w:rsidP="008E4492">
            <w:pPr>
              <w:rPr>
                <w:b/>
              </w:rPr>
            </w:pPr>
          </w:p>
        </w:tc>
      </w:tr>
      <w:tr w:rsidR="00072331" w14:paraId="17A4CC28" w14:textId="77777777" w:rsidTr="00CB7ED4">
        <w:tc>
          <w:tcPr>
            <w:tcW w:w="9360" w:type="dxa"/>
          </w:tcPr>
          <w:p w14:paraId="11E5CAD1" w14:textId="77777777" w:rsidR="0017725B" w:rsidRDefault="00A141D8" w:rsidP="008E44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A26E98" w14:textId="77777777" w:rsidR="0017725B" w:rsidRDefault="0017725B" w:rsidP="008E4492">
            <w:pPr>
              <w:rPr>
                <w:b/>
                <w:u w:val="single"/>
              </w:rPr>
            </w:pPr>
          </w:p>
          <w:p w14:paraId="7AE316AF" w14:textId="74EA2484" w:rsidR="00024A1A" w:rsidRPr="00024A1A" w:rsidRDefault="00A141D8" w:rsidP="008E449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</w:t>
            </w:r>
            <w:r>
              <w:t>ibility of a person for community supervision, parole, or mandatory supervision.</w:t>
            </w:r>
          </w:p>
          <w:p w14:paraId="6DEF7D3F" w14:textId="77777777" w:rsidR="0017725B" w:rsidRPr="0017725B" w:rsidRDefault="0017725B" w:rsidP="008E4492">
            <w:pPr>
              <w:rPr>
                <w:b/>
                <w:u w:val="single"/>
              </w:rPr>
            </w:pPr>
          </w:p>
        </w:tc>
      </w:tr>
      <w:tr w:rsidR="00072331" w14:paraId="5018FB38" w14:textId="77777777" w:rsidTr="00CB7ED4">
        <w:tc>
          <w:tcPr>
            <w:tcW w:w="9360" w:type="dxa"/>
          </w:tcPr>
          <w:p w14:paraId="2838CE29" w14:textId="77777777" w:rsidR="008423E4" w:rsidRPr="00A8133F" w:rsidRDefault="00A141D8" w:rsidP="008E44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49B424" w14:textId="77777777" w:rsidR="008423E4" w:rsidRDefault="008423E4" w:rsidP="008E4492"/>
          <w:p w14:paraId="1F8BDB6E" w14:textId="549671AB" w:rsidR="00024A1A" w:rsidRDefault="00A141D8" w:rsidP="008E44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Health and Human Services Commission in SECTION 3 of this bill.</w:t>
            </w:r>
          </w:p>
          <w:p w14:paraId="6A79720B" w14:textId="77777777" w:rsidR="008423E4" w:rsidRPr="00E21FDC" w:rsidRDefault="008423E4" w:rsidP="008E4492">
            <w:pPr>
              <w:rPr>
                <w:b/>
              </w:rPr>
            </w:pPr>
          </w:p>
        </w:tc>
      </w:tr>
      <w:tr w:rsidR="00072331" w14:paraId="32463A6B" w14:textId="77777777" w:rsidTr="00CB7ED4">
        <w:tc>
          <w:tcPr>
            <w:tcW w:w="9360" w:type="dxa"/>
          </w:tcPr>
          <w:p w14:paraId="696A6A69" w14:textId="77777777" w:rsidR="008423E4" w:rsidRPr="00A8133F" w:rsidRDefault="00A141D8" w:rsidP="008E44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811A88" w14:textId="77777777" w:rsidR="008423E4" w:rsidRDefault="008423E4" w:rsidP="008E4492"/>
          <w:p w14:paraId="1F307CCD" w14:textId="43AED7AF" w:rsidR="00363781" w:rsidRDefault="00A141D8" w:rsidP="008E44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140B7">
              <w:t>H.B. 4220 amends the Human Resources Code to</w:t>
            </w:r>
            <w:r>
              <w:t xml:space="preserve"> </w:t>
            </w:r>
            <w:r w:rsidR="0050126D">
              <w:t>require t</w:t>
            </w:r>
            <w:r w:rsidR="0050126D" w:rsidRPr="0050126D">
              <w:t>he training</w:t>
            </w:r>
            <w:r w:rsidR="0050126D">
              <w:t xml:space="preserve"> for an ombudsman designated by the office</w:t>
            </w:r>
            <w:r w:rsidR="00CF5007">
              <w:t xml:space="preserve"> </w:t>
            </w:r>
            <w:r w:rsidR="00CB7ED4">
              <w:t xml:space="preserve">of </w:t>
            </w:r>
            <w:r w:rsidR="008266E6">
              <w:t xml:space="preserve">the state </w:t>
            </w:r>
            <w:r w:rsidR="00CB7ED4">
              <w:t>long</w:t>
            </w:r>
            <w:r w:rsidR="00B743E6">
              <w:t>-</w:t>
            </w:r>
            <w:r w:rsidR="00CB7ED4">
              <w:t xml:space="preserve">term care ombudsman </w:t>
            </w:r>
            <w:r w:rsidR="00CF5007">
              <w:t xml:space="preserve">who investigates complaints </w:t>
            </w:r>
            <w:r w:rsidR="0050126D">
              <w:t>to</w:t>
            </w:r>
            <w:r w:rsidR="0050126D" w:rsidRPr="0050126D">
              <w:t xml:space="preserve"> include instruction regarding state laws and regulations applicable to the </w:t>
            </w:r>
            <w:r w:rsidR="00E34DBF">
              <w:t>long-term care</w:t>
            </w:r>
            <w:r w:rsidR="00E34DBF" w:rsidRPr="0050126D">
              <w:t xml:space="preserve"> </w:t>
            </w:r>
            <w:r w:rsidR="0050126D" w:rsidRPr="0050126D">
              <w:t>setting</w:t>
            </w:r>
            <w:r w:rsidR="00E34DBF">
              <w:t>s</w:t>
            </w:r>
            <w:r w:rsidR="0050126D" w:rsidRPr="0050126D">
              <w:t xml:space="preserve"> in which </w:t>
            </w:r>
            <w:r w:rsidR="002559B9">
              <w:t>each</w:t>
            </w:r>
            <w:r w:rsidR="002559B9" w:rsidRPr="0050126D">
              <w:t xml:space="preserve"> </w:t>
            </w:r>
            <w:r w:rsidR="008266E6">
              <w:t xml:space="preserve">such </w:t>
            </w:r>
            <w:r w:rsidR="0050126D" w:rsidRPr="0050126D">
              <w:t>ombudsman will conduct investigation</w:t>
            </w:r>
            <w:r w:rsidR="00E34DBF">
              <w:t>s</w:t>
            </w:r>
            <w:r w:rsidR="0050126D" w:rsidRPr="0050126D">
              <w:t>.</w:t>
            </w:r>
          </w:p>
          <w:p w14:paraId="3706E095" w14:textId="1DE27ED6" w:rsidR="0050126D" w:rsidRDefault="0050126D" w:rsidP="008E44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3A64C0" w14:textId="78575DF0" w:rsidR="00690296" w:rsidRDefault="00A141D8" w:rsidP="008E4492">
            <w:pPr>
              <w:pStyle w:val="Header"/>
              <w:jc w:val="both"/>
            </w:pPr>
            <w:r>
              <w:t>C.S.</w:t>
            </w:r>
            <w:r w:rsidR="0050126D">
              <w:t xml:space="preserve">H.B. 4220 </w:t>
            </w:r>
            <w:r w:rsidR="005C4EB1">
              <w:t xml:space="preserve">requires the </w:t>
            </w:r>
            <w:r w:rsidR="005C4EB1" w:rsidRPr="005C4EB1">
              <w:t xml:space="preserve">state long-term care ombudsman and representatives, as provided by Health and Human Services Commission </w:t>
            </w:r>
            <w:r w:rsidR="00733B2E">
              <w:t xml:space="preserve">(HHSC) </w:t>
            </w:r>
            <w:r w:rsidR="005C4EB1" w:rsidRPr="005C4EB1">
              <w:t xml:space="preserve">rules, </w:t>
            </w:r>
            <w:r w:rsidR="005C4EB1">
              <w:t xml:space="preserve">to </w:t>
            </w:r>
            <w:r w:rsidR="005C4EB1" w:rsidRPr="005C4EB1">
              <w:t>have access</w:t>
            </w:r>
            <w:r w:rsidR="005C4EB1">
              <w:t xml:space="preserve"> </w:t>
            </w:r>
            <w:r w:rsidR="005C4EB1" w:rsidRPr="005C4EB1">
              <w:t xml:space="preserve">to a long-term care facility's administrative records, policies, and other documents that residents </w:t>
            </w:r>
            <w:r w:rsidR="00E34DBF">
              <w:t>or</w:t>
            </w:r>
            <w:r w:rsidR="00E34DBF" w:rsidRPr="005C4EB1">
              <w:t xml:space="preserve"> </w:t>
            </w:r>
            <w:r w:rsidR="005C4EB1" w:rsidRPr="005C4EB1">
              <w:t>the general public have access to in the normal course of business</w:t>
            </w:r>
            <w:r w:rsidR="00D20A66">
              <w:t>, in addition to their current access to a resident's patient care records</w:t>
            </w:r>
            <w:r w:rsidR="00166C5F">
              <w:t xml:space="preserve">. The bill establishes that </w:t>
            </w:r>
            <w:r w:rsidR="00166C5F" w:rsidRPr="00166C5F">
              <w:t>documents obtained through litigation are not considered to have been obtained in the normal course of business.</w:t>
            </w:r>
            <w:r w:rsidR="00166C5F">
              <w:t xml:space="preserve"> The </w:t>
            </w:r>
            <w:r>
              <w:t xml:space="preserve">bill </w:t>
            </w:r>
            <w:r w:rsidR="006C4946">
              <w:t xml:space="preserve">specifies that </w:t>
            </w:r>
            <w:r>
              <w:t xml:space="preserve">the </w:t>
            </w:r>
            <w:r w:rsidR="006C4946">
              <w:t xml:space="preserve">consent from a resident or the resident's legal representative that triggers the authorization </w:t>
            </w:r>
            <w:r>
              <w:t>for t</w:t>
            </w:r>
            <w:r w:rsidRPr="00690296">
              <w:t xml:space="preserve">he state long-term care ombudsman and representatives </w:t>
            </w:r>
            <w:r>
              <w:t>to</w:t>
            </w:r>
            <w:r w:rsidRPr="00690296">
              <w:t xml:space="preserve"> have access to a resident's patient care records </w:t>
            </w:r>
            <w:r w:rsidR="006C4946">
              <w:t>is</w:t>
            </w:r>
            <w:r w:rsidRPr="00690296">
              <w:t xml:space="preserve"> informed consen</w:t>
            </w:r>
            <w:r w:rsidR="00D20A66">
              <w:t>t and defines "patient care record" as</w:t>
            </w:r>
            <w:r>
              <w:t xml:space="preserve"> </w:t>
            </w:r>
            <w:r w:rsidRPr="002269C7">
              <w:t>a medical, social, or other re</w:t>
            </w:r>
            <w:r w:rsidRPr="002269C7">
              <w:t>cord related to a resident</w:t>
            </w:r>
            <w:r w:rsidRPr="00690296">
              <w:t>.</w:t>
            </w:r>
            <w:r>
              <w:t xml:space="preserve"> The bill requires the</w:t>
            </w:r>
            <w:r w:rsidR="00AE1CE1">
              <w:t xml:space="preserve"> </w:t>
            </w:r>
            <w:r w:rsidR="00AE1CE1" w:rsidRPr="00AE1CE1">
              <w:t>office</w:t>
            </w:r>
            <w:r w:rsidR="00E34DBF">
              <w:t>, in accordance with HHSC rule,</w:t>
            </w:r>
            <w:r w:rsidR="00AE1CE1" w:rsidRPr="00AE1CE1">
              <w:t xml:space="preserve"> </w:t>
            </w:r>
            <w:r w:rsidR="006C4946">
              <w:t xml:space="preserve">to </w:t>
            </w:r>
            <w:r w:rsidR="00AE1CE1" w:rsidRPr="00AE1CE1">
              <w:t>provide documentation to a long-term care facility that is the subject of a</w:t>
            </w:r>
            <w:r w:rsidR="00D20A66">
              <w:t xml:space="preserve"> complaint</w:t>
            </w:r>
            <w:r w:rsidR="00AE1CE1" w:rsidRPr="00AE1CE1">
              <w:t xml:space="preserve"> investigation evidencing that the state long-term care ombudsman or a representative is entitled to access a resident's patient care records by having satisfied the </w:t>
            </w:r>
            <w:r w:rsidR="00D20A66">
              <w:t xml:space="preserve">applicable </w:t>
            </w:r>
            <w:r w:rsidR="00AE1CE1" w:rsidRPr="00AE1CE1">
              <w:t xml:space="preserve">requirements </w:t>
            </w:r>
            <w:r w:rsidR="00AE1CE1">
              <w:t>to access those records</w:t>
            </w:r>
            <w:r w:rsidR="00AE1CE1" w:rsidRPr="00AE1CE1">
              <w:t>.</w:t>
            </w:r>
            <w:r w:rsidR="00013602">
              <w:t xml:space="preserve"> </w:t>
            </w:r>
          </w:p>
          <w:p w14:paraId="102158D8" w14:textId="6A5A0E96" w:rsidR="00AE1CE1" w:rsidRDefault="00AE1CE1" w:rsidP="008E4492">
            <w:pPr>
              <w:pStyle w:val="Header"/>
              <w:jc w:val="both"/>
            </w:pPr>
          </w:p>
          <w:p w14:paraId="4DB3DCB5" w14:textId="4656D7E3" w:rsidR="006C4946" w:rsidRDefault="00A141D8" w:rsidP="008E4492">
            <w:pPr>
              <w:pStyle w:val="Header"/>
              <w:tabs>
                <w:tab w:val="clear" w:pos="4320"/>
                <w:tab w:val="clear" w:pos="8640"/>
                <w:tab w:val="left" w:pos="2175"/>
              </w:tabs>
              <w:jc w:val="both"/>
            </w:pPr>
            <w:r>
              <w:t>C.S.</w:t>
            </w:r>
            <w:r w:rsidR="00AE1CE1">
              <w:t>H.B. 4220</w:t>
            </w:r>
            <w:r w:rsidR="002F0DF4">
              <w:t xml:space="preserve"> requires the office to </w:t>
            </w:r>
            <w:r w:rsidR="00156A93">
              <w:t xml:space="preserve">include on each of </w:t>
            </w:r>
            <w:r>
              <w:t>its</w:t>
            </w:r>
            <w:r w:rsidR="00156A93">
              <w:t xml:space="preserve"> publications a statement explaining </w:t>
            </w:r>
            <w:r w:rsidR="00810669">
              <w:t>its</w:t>
            </w:r>
            <w:r w:rsidR="009409A5">
              <w:t xml:space="preserve"> role as an advocate for residents and </w:t>
            </w:r>
            <w:r w:rsidR="009409A5" w:rsidRPr="009409A5">
              <w:t xml:space="preserve">that the points of view, opinions, positions, or policies of the ombudsmen do not necessarily represent the points of view, opinions, positions, or policies of </w:t>
            </w:r>
            <w:r w:rsidR="009409A5">
              <w:t xml:space="preserve">HHSC. </w:t>
            </w:r>
            <w:r w:rsidR="006E08AB" w:rsidRPr="006E08AB">
              <w:t xml:space="preserve">The </w:t>
            </w:r>
            <w:r w:rsidR="006E08AB">
              <w:t xml:space="preserve">bill authorizes the </w:t>
            </w:r>
            <w:r w:rsidR="006E08AB" w:rsidRPr="006E08AB">
              <w:t xml:space="preserve">statement </w:t>
            </w:r>
            <w:r w:rsidR="006E08AB">
              <w:t>to</w:t>
            </w:r>
            <w:r w:rsidR="006E08AB" w:rsidRPr="006E08AB">
              <w:t xml:space="preserve"> be modified as necessary to reflect a publication's primary audience.</w:t>
            </w:r>
          </w:p>
          <w:p w14:paraId="20D7DAE9" w14:textId="77777777" w:rsidR="006C4946" w:rsidRDefault="006C4946" w:rsidP="008E4492">
            <w:pPr>
              <w:pStyle w:val="Header"/>
              <w:tabs>
                <w:tab w:val="clear" w:pos="4320"/>
                <w:tab w:val="clear" w:pos="8640"/>
                <w:tab w:val="left" w:pos="2175"/>
              </w:tabs>
              <w:jc w:val="both"/>
            </w:pPr>
          </w:p>
          <w:p w14:paraId="3932368D" w14:textId="73E04C44" w:rsidR="00156A93" w:rsidRDefault="00A141D8" w:rsidP="008E4492">
            <w:pPr>
              <w:pStyle w:val="Header"/>
              <w:tabs>
                <w:tab w:val="clear" w:pos="4320"/>
                <w:tab w:val="clear" w:pos="8640"/>
                <w:tab w:val="left" w:pos="2175"/>
              </w:tabs>
              <w:jc w:val="both"/>
            </w:pPr>
            <w:r>
              <w:t>C.S.</w:t>
            </w:r>
            <w:r w:rsidR="006C4946">
              <w:t>H.B. 4</w:t>
            </w:r>
            <w:r w:rsidR="00170FA4">
              <w:t>2</w:t>
            </w:r>
            <w:r w:rsidR="006C4946">
              <w:t>20</w:t>
            </w:r>
            <w:r w:rsidR="002F0DF4">
              <w:t xml:space="preserve"> </w:t>
            </w:r>
            <w:r w:rsidR="006C4946">
              <w:t>requires</w:t>
            </w:r>
            <w:r w:rsidR="00733B2E">
              <w:t xml:space="preserve"> the office's</w:t>
            </w:r>
            <w:r w:rsidR="006C4946">
              <w:t xml:space="preserve"> biennial</w:t>
            </w:r>
            <w:r w:rsidR="00733B2E">
              <w:t xml:space="preserve"> report </w:t>
            </w:r>
            <w:r w:rsidR="006C4946">
              <w:t xml:space="preserve">to the governor </w:t>
            </w:r>
            <w:r w:rsidR="00117BF9">
              <w:t>and</w:t>
            </w:r>
            <w:r w:rsidR="006C4946">
              <w:t xml:space="preserve"> the presiding officer of each house of the legislature to </w:t>
            </w:r>
            <w:r w:rsidR="00733B2E">
              <w:t>includ</w:t>
            </w:r>
            <w:r w:rsidR="006C4946">
              <w:t>e</w:t>
            </w:r>
            <w:r w:rsidR="00733B2E">
              <w:t xml:space="preserve"> the following </w:t>
            </w:r>
            <w:r w:rsidR="00013602">
              <w:t xml:space="preserve">additional </w:t>
            </w:r>
            <w:r w:rsidR="00733B2E">
              <w:t>information:</w:t>
            </w:r>
          </w:p>
          <w:p w14:paraId="34FBEF80" w14:textId="3516F5D5" w:rsidR="00156A93" w:rsidRDefault="00A141D8" w:rsidP="008E44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list of persons repre</w:t>
            </w:r>
            <w:r>
              <w:t>senting the office who submitted a sworn statement to a committee of the legislature indicating the office was present in favor of, in opposition to, or without taking a position on legislation and a description of the legislation, including the bill numbe</w:t>
            </w:r>
            <w:r>
              <w:t>r, the position taken, and a summary of the testimony given; and</w:t>
            </w:r>
          </w:p>
          <w:p w14:paraId="4146BE06" w14:textId="100BFF2D" w:rsidR="00156A93" w:rsidRPr="00690296" w:rsidRDefault="00A141D8" w:rsidP="008E44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if the office submitted a public comment on a proposed rule published in the Texas Register, a citation to the volume and page numbers in the Texas Register that included the proposed rule an</w:t>
            </w:r>
            <w:r>
              <w:t>d a summary of the submitted comment.</w:t>
            </w:r>
          </w:p>
          <w:p w14:paraId="42437E04" w14:textId="77777777" w:rsidR="008423E4" w:rsidRPr="00835628" w:rsidRDefault="008423E4" w:rsidP="008E4492">
            <w:pPr>
              <w:rPr>
                <w:b/>
              </w:rPr>
            </w:pPr>
          </w:p>
        </w:tc>
      </w:tr>
      <w:tr w:rsidR="00072331" w14:paraId="3469FF09" w14:textId="77777777" w:rsidTr="00CB7ED4">
        <w:tc>
          <w:tcPr>
            <w:tcW w:w="9360" w:type="dxa"/>
          </w:tcPr>
          <w:p w14:paraId="4B3BE1FA" w14:textId="77777777" w:rsidR="008423E4" w:rsidRPr="00A8133F" w:rsidRDefault="00A141D8" w:rsidP="008E44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591C1F" w14:textId="77777777" w:rsidR="008423E4" w:rsidRDefault="008423E4" w:rsidP="008E4492"/>
          <w:p w14:paraId="1C98A51C" w14:textId="54EE8150" w:rsidR="008423E4" w:rsidRPr="003624F2" w:rsidRDefault="00A141D8" w:rsidP="008E44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702E077" w14:textId="77777777" w:rsidR="008423E4" w:rsidRPr="00233FDB" w:rsidRDefault="008423E4" w:rsidP="008E4492">
            <w:pPr>
              <w:rPr>
                <w:b/>
              </w:rPr>
            </w:pPr>
          </w:p>
        </w:tc>
      </w:tr>
      <w:tr w:rsidR="00072331" w14:paraId="7018924E" w14:textId="77777777" w:rsidTr="00CB7ED4">
        <w:tc>
          <w:tcPr>
            <w:tcW w:w="9360" w:type="dxa"/>
          </w:tcPr>
          <w:p w14:paraId="0F854FA1" w14:textId="77777777" w:rsidR="002B1C09" w:rsidRDefault="00A141D8" w:rsidP="008E449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9798624" w14:textId="77777777" w:rsidR="00CB7ED4" w:rsidRDefault="00CB7ED4" w:rsidP="008E4492">
            <w:pPr>
              <w:jc w:val="both"/>
            </w:pPr>
          </w:p>
          <w:p w14:paraId="60089A24" w14:textId="77777777" w:rsidR="00CB7ED4" w:rsidRDefault="00A141D8" w:rsidP="008E4492">
            <w:pPr>
              <w:jc w:val="both"/>
            </w:pPr>
            <w:r>
              <w:t xml:space="preserve">While C.S.H.B. 4220 may differ from the introduced in minor or nonsubstantive ways, the following summarizes the substantial </w:t>
            </w:r>
            <w:r>
              <w:t>differences between the introduced and committee substitute versions of the bill.</w:t>
            </w:r>
          </w:p>
          <w:p w14:paraId="450E4453" w14:textId="77777777" w:rsidR="00CB7ED4" w:rsidRDefault="00CB7ED4" w:rsidP="008E4492">
            <w:pPr>
              <w:jc w:val="both"/>
            </w:pPr>
          </w:p>
          <w:p w14:paraId="7B042A05" w14:textId="15F94F7D" w:rsidR="008266E6" w:rsidRDefault="00A141D8" w:rsidP="008E4492">
            <w:pPr>
              <w:jc w:val="both"/>
            </w:pPr>
            <w:r>
              <w:t xml:space="preserve">The substitute omits the provision from the introduced </w:t>
            </w:r>
            <w:r w:rsidRPr="008266E6">
              <w:t>establish</w:t>
            </w:r>
            <w:r>
              <w:t>ing</w:t>
            </w:r>
            <w:r w:rsidRPr="008266E6">
              <w:t xml:space="preserve"> that an investigation conducted by the office is for the sole purpose of gathering information necessary </w:t>
            </w:r>
            <w:r w:rsidRPr="008266E6">
              <w:t xml:space="preserve">to resolve a long-term care facility resident's complaint or grievance to the resident's satisfaction. </w:t>
            </w:r>
            <w:r>
              <w:t xml:space="preserve">The bill also omits the provision from the introduced establishing that, </w:t>
            </w:r>
            <w:r w:rsidRPr="008266E6">
              <w:t>in such an investigation, the state long-term care ombudsman or a representative</w:t>
            </w:r>
            <w:r w:rsidRPr="008266E6">
              <w:t xml:space="preserve">, including an ombudsman designated by the office, is not required to collect evidence to satisfy a burden of proof required in an investigation conducted by a licensing or regulatory agency or a law enforcement agency and </w:t>
            </w:r>
            <w:r>
              <w:t xml:space="preserve">that </w:t>
            </w:r>
            <w:r w:rsidRPr="008266E6">
              <w:t>the results of the investiga</w:t>
            </w:r>
            <w:r w:rsidRPr="008266E6">
              <w:t>tion do not need to include any determinations on whether a law or rule has been violated for purposes of civil or criminal enforcement.</w:t>
            </w:r>
          </w:p>
          <w:p w14:paraId="7568AC9A" w14:textId="77777777" w:rsidR="008266E6" w:rsidRDefault="008266E6" w:rsidP="008E4492">
            <w:pPr>
              <w:jc w:val="both"/>
            </w:pPr>
          </w:p>
          <w:p w14:paraId="4F5FF78C" w14:textId="6A2DAD92" w:rsidR="00CB7ED4" w:rsidRDefault="00A141D8" w:rsidP="008E4492">
            <w:pPr>
              <w:jc w:val="both"/>
            </w:pPr>
            <w:r>
              <w:t xml:space="preserve">The substitute changes the definition of "patient care record" from </w:t>
            </w:r>
            <w:r w:rsidRPr="001367B4">
              <w:t>a record related to a specific patient's direct ca</w:t>
            </w:r>
            <w:r w:rsidRPr="001367B4">
              <w:t>re</w:t>
            </w:r>
            <w:r>
              <w:t xml:space="preserve">, as in the introduced, to </w:t>
            </w:r>
            <w:r w:rsidRPr="001367B4">
              <w:t>a medical, social, or other record related to a resident</w:t>
            </w:r>
            <w:r>
              <w:t xml:space="preserve">. </w:t>
            </w:r>
          </w:p>
          <w:p w14:paraId="2FA89612" w14:textId="77777777" w:rsidR="00CB7ED4" w:rsidRDefault="00CB7ED4" w:rsidP="008E4492">
            <w:pPr>
              <w:jc w:val="both"/>
            </w:pPr>
          </w:p>
          <w:p w14:paraId="7191ECB4" w14:textId="77777777" w:rsidR="00CB7ED4" w:rsidRDefault="00A141D8" w:rsidP="008E4492">
            <w:pPr>
              <w:jc w:val="both"/>
            </w:pPr>
            <w:r>
              <w:t>Whereas</w:t>
            </w:r>
            <w:r w:rsidRPr="001367B4">
              <w:t xml:space="preserve"> the introduced </w:t>
            </w:r>
            <w:r>
              <w:t>required</w:t>
            </w:r>
            <w:r w:rsidRPr="001367B4">
              <w:t xml:space="preserve"> </w:t>
            </w:r>
            <w:r>
              <w:t>the training for an ombudsman designated by the office</w:t>
            </w:r>
            <w:r w:rsidRPr="00363781">
              <w:t xml:space="preserve"> of the state long-term care ombudsman</w:t>
            </w:r>
            <w:r>
              <w:t xml:space="preserve"> who investigates complaints to include ins</w:t>
            </w:r>
            <w:r>
              <w:t xml:space="preserve">truction regarding </w:t>
            </w:r>
            <w:r w:rsidRPr="008A174D">
              <w:t>state laws and regulations</w:t>
            </w:r>
            <w:r w:rsidRPr="001367B4">
              <w:t xml:space="preserve"> </w:t>
            </w:r>
            <w:r>
              <w:t xml:space="preserve">applicable to </w:t>
            </w:r>
            <w:r w:rsidRPr="008A174D">
              <w:t>the institutional setting</w:t>
            </w:r>
            <w:r>
              <w:t xml:space="preserve"> in which the ombudsman will conduct the investigation, the substitute requires the training to include instruction regarding state laws and regulations applicable to </w:t>
            </w:r>
            <w:r w:rsidRPr="008A174D">
              <w:t xml:space="preserve">the </w:t>
            </w:r>
            <w:r w:rsidRPr="008A174D">
              <w:t>long-term care settings</w:t>
            </w:r>
            <w:r>
              <w:t xml:space="preserve"> in which each ombudsman will conduct investigations. </w:t>
            </w:r>
          </w:p>
          <w:p w14:paraId="0632B021" w14:textId="77777777" w:rsidR="00CB7ED4" w:rsidRDefault="00CB7ED4" w:rsidP="008E4492">
            <w:pPr>
              <w:jc w:val="both"/>
            </w:pPr>
          </w:p>
          <w:p w14:paraId="619B837B" w14:textId="77777777" w:rsidR="00CB7ED4" w:rsidRDefault="00A141D8" w:rsidP="008E4492">
            <w:pPr>
              <w:jc w:val="both"/>
            </w:pPr>
            <w:r w:rsidRPr="007816D6">
              <w:t xml:space="preserve">While the introduced </w:t>
            </w:r>
            <w:r>
              <w:t xml:space="preserve">provided for the state long-term care ombudsman's and representatives' access to </w:t>
            </w:r>
            <w:r w:rsidRPr="007816D6">
              <w:t>long-term care facility administrative records, policies, and other documen</w:t>
            </w:r>
            <w:r w:rsidRPr="007816D6">
              <w:t xml:space="preserve">ts that </w:t>
            </w:r>
            <w:r>
              <w:t xml:space="preserve">both </w:t>
            </w:r>
            <w:r w:rsidRPr="007816D6">
              <w:t>residents and the general public have access to in the normal course of business</w:t>
            </w:r>
            <w:r>
              <w:t xml:space="preserve">, the substitute provides for their access to such records, policies, and other documents that either residents or </w:t>
            </w:r>
            <w:r w:rsidRPr="0058227E">
              <w:t xml:space="preserve">the general public have access to in the normal </w:t>
            </w:r>
            <w:r w:rsidRPr="0058227E">
              <w:t>course of business</w:t>
            </w:r>
            <w:r>
              <w:t xml:space="preserve">. </w:t>
            </w:r>
          </w:p>
          <w:p w14:paraId="260FE6F1" w14:textId="77777777" w:rsidR="00CB7ED4" w:rsidRDefault="00CB7ED4" w:rsidP="008E4492">
            <w:pPr>
              <w:jc w:val="both"/>
            </w:pPr>
          </w:p>
          <w:p w14:paraId="4B1B7C8C" w14:textId="77777777" w:rsidR="00CB7ED4" w:rsidRDefault="00A141D8" w:rsidP="008E4492">
            <w:pPr>
              <w:jc w:val="both"/>
            </w:pPr>
            <w:r w:rsidRPr="0058227E">
              <w:t xml:space="preserve">The substitute </w:t>
            </w:r>
            <w:r>
              <w:t xml:space="preserve">revises the requirement in the introduced for the office to </w:t>
            </w:r>
            <w:r w:rsidRPr="0058227E">
              <w:t xml:space="preserve">provide </w:t>
            </w:r>
            <w:r>
              <w:t xml:space="preserve">certain </w:t>
            </w:r>
            <w:r w:rsidRPr="0058227E">
              <w:t>documentation to a long-term care facility that is the subject of an investigation</w:t>
            </w:r>
            <w:r>
              <w:t xml:space="preserve"> to specify that the provision of the documentation is to be </w:t>
            </w:r>
            <w:r>
              <w:t xml:space="preserve">in accordance with HHSC rule, whereas the introduced did not specify the manner of providing the documentation. </w:t>
            </w:r>
          </w:p>
          <w:p w14:paraId="7885EE42" w14:textId="77777777" w:rsidR="00CB7ED4" w:rsidRDefault="00CB7ED4" w:rsidP="008E4492">
            <w:pPr>
              <w:jc w:val="both"/>
            </w:pPr>
          </w:p>
          <w:p w14:paraId="3F951209" w14:textId="45124D4B" w:rsidR="00CB7ED4" w:rsidRDefault="00A141D8" w:rsidP="008E4492">
            <w:pPr>
              <w:jc w:val="both"/>
            </w:pPr>
            <w:r>
              <w:t>The substitute revises the requirement in t</w:t>
            </w:r>
            <w:r w:rsidRPr="0058227E">
              <w:t>he introduced</w:t>
            </w:r>
            <w:r>
              <w:t xml:space="preserve"> for the office to </w:t>
            </w:r>
            <w:r w:rsidRPr="0058227E">
              <w:t xml:space="preserve">include on each of </w:t>
            </w:r>
            <w:r>
              <w:t>its</w:t>
            </w:r>
            <w:r w:rsidRPr="0058227E">
              <w:t xml:space="preserve"> publications a disclosure statement explaini</w:t>
            </w:r>
            <w:r w:rsidRPr="0058227E">
              <w:t>ng that</w:t>
            </w:r>
            <w:r>
              <w:t xml:space="preserve"> the office </w:t>
            </w:r>
            <w:r w:rsidRPr="0058227E">
              <w:t>acts independently of HHSC</w:t>
            </w:r>
            <w:r>
              <w:t xml:space="preserve"> and</w:t>
            </w:r>
            <w:r w:rsidRPr="0058227E">
              <w:t xml:space="preserve"> does not regulate long-term care facilities and that information the office publishes is for educational purposes only</w:t>
            </w:r>
            <w:r>
              <w:t xml:space="preserve"> by</w:t>
            </w:r>
            <w:r w:rsidRPr="0058227E">
              <w:t xml:space="preserve"> </w:t>
            </w:r>
            <w:r>
              <w:t>requiring the statement instead to explain the office's role as an advocate for resi</w:t>
            </w:r>
            <w:r>
              <w:t xml:space="preserve">dents and that the points of view, opinions, positions, or policies of the ombudsmen do not necessarily represent the points of view, opinions, positions, or policies of HHSC. </w:t>
            </w:r>
            <w:r w:rsidRPr="002D4525">
              <w:t>The substitute includes a provision</w:t>
            </w:r>
            <w:r>
              <w:t xml:space="preserve"> </w:t>
            </w:r>
            <w:r w:rsidRPr="002D4525">
              <w:t>absent from the introduced</w:t>
            </w:r>
            <w:r>
              <w:t xml:space="preserve"> authorizing the s</w:t>
            </w:r>
            <w:r>
              <w:t xml:space="preserve">tatement to be modified as necessary to reflect a </w:t>
            </w:r>
            <w:r w:rsidRPr="002D4525">
              <w:t>publication's primary audience.</w:t>
            </w:r>
          </w:p>
          <w:p w14:paraId="67818D5A" w14:textId="54E1C7D3" w:rsidR="00CB7ED4" w:rsidRPr="00CB7ED4" w:rsidRDefault="00CB7ED4" w:rsidP="008E4492">
            <w:pPr>
              <w:jc w:val="both"/>
            </w:pPr>
          </w:p>
        </w:tc>
      </w:tr>
      <w:tr w:rsidR="00072331" w14:paraId="6AC088B9" w14:textId="77777777" w:rsidTr="00CB7ED4">
        <w:tc>
          <w:tcPr>
            <w:tcW w:w="9360" w:type="dxa"/>
          </w:tcPr>
          <w:p w14:paraId="2F79B279" w14:textId="77777777" w:rsidR="000511AA" w:rsidRPr="009C1E9A" w:rsidRDefault="000511AA" w:rsidP="008E4492">
            <w:pPr>
              <w:rPr>
                <w:b/>
                <w:u w:val="single"/>
              </w:rPr>
            </w:pPr>
          </w:p>
        </w:tc>
      </w:tr>
      <w:tr w:rsidR="00072331" w14:paraId="24F249FD" w14:textId="77777777" w:rsidTr="00CB7ED4">
        <w:tc>
          <w:tcPr>
            <w:tcW w:w="9360" w:type="dxa"/>
          </w:tcPr>
          <w:p w14:paraId="6DF9D877" w14:textId="77777777" w:rsidR="000511AA" w:rsidRPr="002B1C09" w:rsidRDefault="000511AA" w:rsidP="008E4492">
            <w:pPr>
              <w:jc w:val="both"/>
            </w:pPr>
          </w:p>
        </w:tc>
      </w:tr>
    </w:tbl>
    <w:p w14:paraId="6169D2E3" w14:textId="77777777" w:rsidR="008423E4" w:rsidRPr="00BE0E75" w:rsidRDefault="008423E4" w:rsidP="008E4492">
      <w:pPr>
        <w:jc w:val="both"/>
        <w:rPr>
          <w:rFonts w:ascii="Arial" w:hAnsi="Arial"/>
          <w:sz w:val="16"/>
          <w:szCs w:val="16"/>
        </w:rPr>
      </w:pPr>
    </w:p>
    <w:p w14:paraId="33CC2768" w14:textId="77777777" w:rsidR="004108C3" w:rsidRPr="008423E4" w:rsidRDefault="004108C3" w:rsidP="008E449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05E1" w14:textId="77777777" w:rsidR="00000000" w:rsidRDefault="00A141D8">
      <w:r>
        <w:separator/>
      </w:r>
    </w:p>
  </w:endnote>
  <w:endnote w:type="continuationSeparator" w:id="0">
    <w:p w14:paraId="2504F53F" w14:textId="77777777" w:rsidR="00000000" w:rsidRDefault="00A1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D6C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72331" w14:paraId="6ADE5BB2" w14:textId="77777777" w:rsidTr="009C1E9A">
      <w:trPr>
        <w:cantSplit/>
      </w:trPr>
      <w:tc>
        <w:tcPr>
          <w:tcW w:w="0" w:type="pct"/>
        </w:tcPr>
        <w:p w14:paraId="359D7D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DDE3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6C584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833B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93BD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2331" w14:paraId="0439E12C" w14:textId="77777777" w:rsidTr="009C1E9A">
      <w:trPr>
        <w:cantSplit/>
      </w:trPr>
      <w:tc>
        <w:tcPr>
          <w:tcW w:w="0" w:type="pct"/>
        </w:tcPr>
        <w:p w14:paraId="6F709A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F05E81" w14:textId="07277363" w:rsidR="00EC379B" w:rsidRPr="009C1E9A" w:rsidRDefault="00A141D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27804-D</w:t>
          </w:r>
        </w:p>
      </w:tc>
      <w:tc>
        <w:tcPr>
          <w:tcW w:w="2453" w:type="pct"/>
        </w:tcPr>
        <w:p w14:paraId="19664A37" w14:textId="186B38F7" w:rsidR="00EC379B" w:rsidRDefault="00A141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01DF6">
            <w:t>23.124.450</w:t>
          </w:r>
          <w:r>
            <w:fldChar w:fldCharType="end"/>
          </w:r>
        </w:p>
      </w:tc>
    </w:tr>
    <w:tr w:rsidR="00072331" w14:paraId="6DCE7832" w14:textId="77777777" w:rsidTr="009C1E9A">
      <w:trPr>
        <w:cantSplit/>
      </w:trPr>
      <w:tc>
        <w:tcPr>
          <w:tcW w:w="0" w:type="pct"/>
        </w:tcPr>
        <w:p w14:paraId="3B80098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F9A6BB" w14:textId="64773EA6" w:rsidR="00EC379B" w:rsidRPr="009C1E9A" w:rsidRDefault="00A141D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22966</w:t>
          </w:r>
        </w:p>
      </w:tc>
      <w:tc>
        <w:tcPr>
          <w:tcW w:w="2453" w:type="pct"/>
        </w:tcPr>
        <w:p w14:paraId="397E19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B7F8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2331" w14:paraId="79E8BE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E61AF0" w14:textId="77777777" w:rsidR="00EC379B" w:rsidRDefault="00A141D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A43D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CE37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F38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3EF9" w14:textId="77777777" w:rsidR="00000000" w:rsidRDefault="00A141D8">
      <w:r>
        <w:separator/>
      </w:r>
    </w:p>
  </w:footnote>
  <w:footnote w:type="continuationSeparator" w:id="0">
    <w:p w14:paraId="6EF8C9C8" w14:textId="77777777" w:rsidR="00000000" w:rsidRDefault="00A1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B0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F09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834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F7A34"/>
    <w:multiLevelType w:val="hybridMultilevel"/>
    <w:tmpl w:val="FF7CE394"/>
    <w:lvl w:ilvl="0" w:tplc="A11C4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6E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88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AA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2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E0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A6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E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85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B7"/>
    <w:rsid w:val="00000A70"/>
    <w:rsid w:val="00001DF6"/>
    <w:rsid w:val="000032B8"/>
    <w:rsid w:val="00003B06"/>
    <w:rsid w:val="000054B9"/>
    <w:rsid w:val="00007461"/>
    <w:rsid w:val="0001117E"/>
    <w:rsid w:val="0001125F"/>
    <w:rsid w:val="0001338E"/>
    <w:rsid w:val="00013602"/>
    <w:rsid w:val="00013D24"/>
    <w:rsid w:val="00014AF0"/>
    <w:rsid w:val="00015143"/>
    <w:rsid w:val="000155D6"/>
    <w:rsid w:val="00015D4E"/>
    <w:rsid w:val="00020C1E"/>
    <w:rsid w:val="00020E9B"/>
    <w:rsid w:val="000236C1"/>
    <w:rsid w:val="000236EC"/>
    <w:rsid w:val="0002413D"/>
    <w:rsid w:val="000249F2"/>
    <w:rsid w:val="00024A1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1AA"/>
    <w:rsid w:val="000532BD"/>
    <w:rsid w:val="000555E0"/>
    <w:rsid w:val="00055C12"/>
    <w:rsid w:val="000608B0"/>
    <w:rsid w:val="0006104C"/>
    <w:rsid w:val="00064BF2"/>
    <w:rsid w:val="000667BA"/>
    <w:rsid w:val="000676A7"/>
    <w:rsid w:val="00072331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57E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1FC"/>
    <w:rsid w:val="000D2EBA"/>
    <w:rsid w:val="000D32A1"/>
    <w:rsid w:val="000D3725"/>
    <w:rsid w:val="000D46E5"/>
    <w:rsid w:val="000D769C"/>
    <w:rsid w:val="000D773F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890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BF9"/>
    <w:rsid w:val="00120797"/>
    <w:rsid w:val="001218D2"/>
    <w:rsid w:val="0012371B"/>
    <w:rsid w:val="001245C8"/>
    <w:rsid w:val="00124653"/>
    <w:rsid w:val="001247C5"/>
    <w:rsid w:val="00127893"/>
    <w:rsid w:val="001312BB"/>
    <w:rsid w:val="001367B4"/>
    <w:rsid w:val="00137D90"/>
    <w:rsid w:val="00141FB6"/>
    <w:rsid w:val="00142F8E"/>
    <w:rsid w:val="00143C8B"/>
    <w:rsid w:val="00147530"/>
    <w:rsid w:val="0015331F"/>
    <w:rsid w:val="00156A93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C5F"/>
    <w:rsid w:val="00167C88"/>
    <w:rsid w:val="00170FA4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89C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9C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9B9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C0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A32"/>
    <w:rsid w:val="002D4525"/>
    <w:rsid w:val="002E21B8"/>
    <w:rsid w:val="002E7DF9"/>
    <w:rsid w:val="002F097B"/>
    <w:rsid w:val="002F0DF4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97C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4D1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781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674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ADC"/>
    <w:rsid w:val="003E0875"/>
    <w:rsid w:val="003E0BB8"/>
    <w:rsid w:val="003E6CB0"/>
    <w:rsid w:val="003E6FE6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85B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C03"/>
    <w:rsid w:val="004B138F"/>
    <w:rsid w:val="004B412A"/>
    <w:rsid w:val="004B576C"/>
    <w:rsid w:val="004B772A"/>
    <w:rsid w:val="004C047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9A3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26D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0E5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27E"/>
    <w:rsid w:val="005832EE"/>
    <w:rsid w:val="0058369E"/>
    <w:rsid w:val="005847EF"/>
    <w:rsid w:val="005851E6"/>
    <w:rsid w:val="0058606C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4EB1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1E6"/>
    <w:rsid w:val="005F1519"/>
    <w:rsid w:val="005F4862"/>
    <w:rsid w:val="005F5679"/>
    <w:rsid w:val="005F5FDF"/>
    <w:rsid w:val="005F6960"/>
    <w:rsid w:val="005F7000"/>
    <w:rsid w:val="005F7AAA"/>
    <w:rsid w:val="00600097"/>
    <w:rsid w:val="00600BAA"/>
    <w:rsid w:val="006012DA"/>
    <w:rsid w:val="006032D6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C56"/>
    <w:rsid w:val="0068127E"/>
    <w:rsid w:val="00681790"/>
    <w:rsid w:val="006823AA"/>
    <w:rsid w:val="0068302A"/>
    <w:rsid w:val="00684B98"/>
    <w:rsid w:val="00685DC9"/>
    <w:rsid w:val="00687465"/>
    <w:rsid w:val="00690296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311"/>
    <w:rsid w:val="006B54C5"/>
    <w:rsid w:val="006B5E80"/>
    <w:rsid w:val="006B7A2E"/>
    <w:rsid w:val="006C4709"/>
    <w:rsid w:val="006C4946"/>
    <w:rsid w:val="006D3005"/>
    <w:rsid w:val="006D504F"/>
    <w:rsid w:val="006E08AB"/>
    <w:rsid w:val="006E0CA9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B2E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6D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9EA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669"/>
    <w:rsid w:val="00812BE3"/>
    <w:rsid w:val="00814516"/>
    <w:rsid w:val="00815C9D"/>
    <w:rsid w:val="008170E2"/>
    <w:rsid w:val="0082203B"/>
    <w:rsid w:val="00823E4C"/>
    <w:rsid w:val="008266E6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74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492"/>
    <w:rsid w:val="008E47BE"/>
    <w:rsid w:val="008E638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9A5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C6D"/>
    <w:rsid w:val="009D37C7"/>
    <w:rsid w:val="009D4BBD"/>
    <w:rsid w:val="009D5A41"/>
    <w:rsid w:val="009E0228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B34"/>
    <w:rsid w:val="00A12330"/>
    <w:rsid w:val="00A1259F"/>
    <w:rsid w:val="00A140B7"/>
    <w:rsid w:val="00A141D8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E89"/>
    <w:rsid w:val="00A70E35"/>
    <w:rsid w:val="00A720DC"/>
    <w:rsid w:val="00A803CF"/>
    <w:rsid w:val="00A8133F"/>
    <w:rsid w:val="00A82CB4"/>
    <w:rsid w:val="00A837A8"/>
    <w:rsid w:val="00A83C36"/>
    <w:rsid w:val="00A87377"/>
    <w:rsid w:val="00A932BB"/>
    <w:rsid w:val="00A93579"/>
    <w:rsid w:val="00A93934"/>
    <w:rsid w:val="00A95D51"/>
    <w:rsid w:val="00AA18AE"/>
    <w:rsid w:val="00AA228B"/>
    <w:rsid w:val="00AA597A"/>
    <w:rsid w:val="00AA5D27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CE1"/>
    <w:rsid w:val="00AE2263"/>
    <w:rsid w:val="00AE248E"/>
    <w:rsid w:val="00AE2D12"/>
    <w:rsid w:val="00AE2F06"/>
    <w:rsid w:val="00AE4F1C"/>
    <w:rsid w:val="00AF1433"/>
    <w:rsid w:val="00AF2137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72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667"/>
    <w:rsid w:val="00B62106"/>
    <w:rsid w:val="00B626A8"/>
    <w:rsid w:val="00B65695"/>
    <w:rsid w:val="00B66526"/>
    <w:rsid w:val="00B665A3"/>
    <w:rsid w:val="00B73BB4"/>
    <w:rsid w:val="00B743E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7EA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B7ED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007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A66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6D0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DB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1D64C5-F350-4F87-8361-0C3E56A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12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1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12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1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126D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69029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90296"/>
    <w:rPr>
      <w:rFonts w:ascii="Consolas" w:hAnsi="Consolas"/>
    </w:rPr>
  </w:style>
  <w:style w:type="paragraph" w:styleId="Revision">
    <w:name w:val="Revision"/>
    <w:hidden/>
    <w:uiPriority w:val="99"/>
    <w:semiHidden/>
    <w:rsid w:val="003E6FE6"/>
    <w:rPr>
      <w:sz w:val="24"/>
      <w:szCs w:val="24"/>
    </w:rPr>
  </w:style>
  <w:style w:type="character" w:styleId="Hyperlink">
    <w:name w:val="Hyperlink"/>
    <w:basedOn w:val="DefaultParagraphFont"/>
    <w:unhideWhenUsed/>
    <w:rsid w:val="009D2C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7003</Characters>
  <Application>Microsoft Office Word</Application>
  <DocSecurity>4</DocSecurity>
  <Lines>134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HB04220 (Committee Report (Substituted))</vt:lpstr>
    </vt:vector>
  </TitlesOfParts>
  <Company>State of Texas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27804</dc:subject>
  <dc:creator>State of Texas</dc:creator>
  <dc:description>HB 4220 by Clardy-(H)Human Services (Substitute Document Number: 88R 22966)</dc:description>
  <cp:lastModifiedBy>Matthew Lee</cp:lastModifiedBy>
  <cp:revision>2</cp:revision>
  <cp:lastPrinted>2003-11-26T17:21:00Z</cp:lastPrinted>
  <dcterms:created xsi:type="dcterms:W3CDTF">2023-05-04T19:35:00Z</dcterms:created>
  <dcterms:modified xsi:type="dcterms:W3CDTF">2023-05-04T19:35:00Z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23.124.450</vt:lpwstr>
  </property>
</Properties>
</file>