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F74C5" w14:paraId="45722802" w14:textId="77777777" w:rsidTr="00345119">
        <w:tc>
          <w:tcPr>
            <w:tcW w:w="9576" w:type="dxa"/>
            <w:noWrap/>
          </w:tcPr>
          <w:p w14:paraId="538C38F6" w14:textId="77777777" w:rsidR="008423E4" w:rsidRPr="0022177D" w:rsidRDefault="002942C0" w:rsidP="008A7171">
            <w:pPr>
              <w:pStyle w:val="Heading1"/>
            </w:pPr>
            <w:r w:rsidRPr="00631897">
              <w:t>BILL ANALYSIS</w:t>
            </w:r>
          </w:p>
        </w:tc>
      </w:tr>
    </w:tbl>
    <w:p w14:paraId="4775AB1E" w14:textId="77777777" w:rsidR="008423E4" w:rsidRPr="0022177D" w:rsidRDefault="008423E4" w:rsidP="008A7171">
      <w:pPr>
        <w:jc w:val="center"/>
      </w:pPr>
    </w:p>
    <w:p w14:paraId="0832884D" w14:textId="77777777" w:rsidR="008423E4" w:rsidRPr="00B31F0E" w:rsidRDefault="008423E4" w:rsidP="008A7171"/>
    <w:p w14:paraId="15A3A2C1" w14:textId="77777777" w:rsidR="008423E4" w:rsidRPr="00742794" w:rsidRDefault="008423E4" w:rsidP="008A7171">
      <w:pPr>
        <w:tabs>
          <w:tab w:val="right" w:pos="9360"/>
        </w:tabs>
      </w:pPr>
    </w:p>
    <w:tbl>
      <w:tblPr>
        <w:tblW w:w="0" w:type="auto"/>
        <w:tblLayout w:type="fixed"/>
        <w:tblLook w:val="01E0" w:firstRow="1" w:lastRow="1" w:firstColumn="1" w:lastColumn="1" w:noHBand="0" w:noVBand="0"/>
      </w:tblPr>
      <w:tblGrid>
        <w:gridCol w:w="9576"/>
      </w:tblGrid>
      <w:tr w:rsidR="002F74C5" w14:paraId="525D771A" w14:textId="77777777" w:rsidTr="00345119">
        <w:tc>
          <w:tcPr>
            <w:tcW w:w="9576" w:type="dxa"/>
          </w:tcPr>
          <w:p w14:paraId="41A7831B" w14:textId="523DD22B" w:rsidR="008423E4" w:rsidRPr="00861995" w:rsidRDefault="002942C0" w:rsidP="008A7171">
            <w:pPr>
              <w:jc w:val="right"/>
            </w:pPr>
            <w:r>
              <w:t>C.S.H.B. 4300</w:t>
            </w:r>
          </w:p>
        </w:tc>
      </w:tr>
      <w:tr w:rsidR="002F74C5" w14:paraId="63C15D4D" w14:textId="77777777" w:rsidTr="00345119">
        <w:tc>
          <w:tcPr>
            <w:tcW w:w="9576" w:type="dxa"/>
          </w:tcPr>
          <w:p w14:paraId="66AF078B" w14:textId="08D655A2" w:rsidR="008423E4" w:rsidRPr="00861995" w:rsidRDefault="002942C0" w:rsidP="008A7171">
            <w:pPr>
              <w:jc w:val="right"/>
            </w:pPr>
            <w:r>
              <w:t xml:space="preserve">By: </w:t>
            </w:r>
            <w:r w:rsidR="00917F6A">
              <w:t>Guillen</w:t>
            </w:r>
          </w:p>
        </w:tc>
      </w:tr>
      <w:tr w:rsidR="002F74C5" w14:paraId="090F9AEB" w14:textId="77777777" w:rsidTr="00345119">
        <w:tc>
          <w:tcPr>
            <w:tcW w:w="9576" w:type="dxa"/>
          </w:tcPr>
          <w:p w14:paraId="0C252BD7" w14:textId="543EC4B9" w:rsidR="008423E4" w:rsidRPr="00861995" w:rsidRDefault="002942C0" w:rsidP="008A7171">
            <w:pPr>
              <w:jc w:val="right"/>
            </w:pPr>
            <w:r>
              <w:t>Insurance</w:t>
            </w:r>
          </w:p>
        </w:tc>
      </w:tr>
      <w:tr w:rsidR="002F74C5" w14:paraId="22798907" w14:textId="77777777" w:rsidTr="00345119">
        <w:tc>
          <w:tcPr>
            <w:tcW w:w="9576" w:type="dxa"/>
          </w:tcPr>
          <w:p w14:paraId="36B6EB9C" w14:textId="54AD2789" w:rsidR="008423E4" w:rsidRDefault="002942C0" w:rsidP="008A7171">
            <w:pPr>
              <w:jc w:val="right"/>
            </w:pPr>
            <w:r>
              <w:t>Committee Report (Substituted)</w:t>
            </w:r>
          </w:p>
        </w:tc>
      </w:tr>
    </w:tbl>
    <w:p w14:paraId="2B8AA4B7" w14:textId="77777777" w:rsidR="008423E4" w:rsidRDefault="008423E4" w:rsidP="008A7171">
      <w:pPr>
        <w:tabs>
          <w:tab w:val="right" w:pos="9360"/>
        </w:tabs>
      </w:pPr>
    </w:p>
    <w:p w14:paraId="00DDCBCA" w14:textId="77777777" w:rsidR="008423E4" w:rsidRDefault="008423E4" w:rsidP="008A7171"/>
    <w:p w14:paraId="57DFA68D" w14:textId="77777777" w:rsidR="008423E4" w:rsidRDefault="008423E4" w:rsidP="008A7171"/>
    <w:tbl>
      <w:tblPr>
        <w:tblW w:w="0" w:type="auto"/>
        <w:tblCellMar>
          <w:left w:w="115" w:type="dxa"/>
          <w:right w:w="115" w:type="dxa"/>
        </w:tblCellMar>
        <w:tblLook w:val="01E0" w:firstRow="1" w:lastRow="1" w:firstColumn="1" w:lastColumn="1" w:noHBand="0" w:noVBand="0"/>
      </w:tblPr>
      <w:tblGrid>
        <w:gridCol w:w="9360"/>
      </w:tblGrid>
      <w:tr w:rsidR="002F74C5" w14:paraId="7A620B0D" w14:textId="77777777" w:rsidTr="001475F5">
        <w:tc>
          <w:tcPr>
            <w:tcW w:w="9360" w:type="dxa"/>
          </w:tcPr>
          <w:p w14:paraId="3A054278" w14:textId="77777777" w:rsidR="008423E4" w:rsidRPr="00A8133F" w:rsidRDefault="002942C0" w:rsidP="008A7171">
            <w:pPr>
              <w:rPr>
                <w:b/>
              </w:rPr>
            </w:pPr>
            <w:r w:rsidRPr="009C1E9A">
              <w:rPr>
                <w:b/>
                <w:u w:val="single"/>
              </w:rPr>
              <w:t>BACKGROUND AND PURPOSE</w:t>
            </w:r>
            <w:r>
              <w:rPr>
                <w:b/>
              </w:rPr>
              <w:t xml:space="preserve"> </w:t>
            </w:r>
          </w:p>
          <w:p w14:paraId="76D3D353" w14:textId="77777777" w:rsidR="008423E4" w:rsidRDefault="008423E4" w:rsidP="008A7171"/>
          <w:p w14:paraId="71910E23" w14:textId="77777777" w:rsidR="008423E4" w:rsidRDefault="002942C0" w:rsidP="008A7171">
            <w:pPr>
              <w:pStyle w:val="Header"/>
              <w:tabs>
                <w:tab w:val="clear" w:pos="4320"/>
                <w:tab w:val="clear" w:pos="8640"/>
              </w:tabs>
              <w:jc w:val="both"/>
            </w:pPr>
            <w:r w:rsidRPr="00BE500C">
              <w:t xml:space="preserve">Currently, once physician assistants </w:t>
            </w:r>
            <w:r>
              <w:t xml:space="preserve">and advanced practice nurses </w:t>
            </w:r>
            <w:r w:rsidRPr="00BE500C">
              <w:t xml:space="preserve">are hired by a physician practice, they undergo a lengthy </w:t>
            </w:r>
            <w:r w:rsidRPr="00BE500C">
              <w:t>credentialing process to gain in-network status under the practice</w:t>
            </w:r>
            <w:r w:rsidR="009C020C">
              <w:t>'</w:t>
            </w:r>
            <w:r w:rsidRPr="00BE500C">
              <w:t>s existing contract with an insurance provider. Although the insurers ultimately approve the credentials of the vast majority of providers that apply, the process is often long</w:t>
            </w:r>
            <w:r>
              <w:t xml:space="preserve"> and may take</w:t>
            </w:r>
            <w:r>
              <w:t xml:space="preserve"> up to a year in some cases</w:t>
            </w:r>
            <w:r w:rsidRPr="00BE500C">
              <w:t xml:space="preserve">. During this time, the physician assistants </w:t>
            </w:r>
            <w:r w:rsidR="00742E8C">
              <w:t xml:space="preserve">and advanced practice nurses </w:t>
            </w:r>
            <w:r w:rsidRPr="00BE500C">
              <w:t>are</w:t>
            </w:r>
            <w:r w:rsidR="00742E8C">
              <w:t xml:space="preserve"> considered</w:t>
            </w:r>
            <w:r w:rsidRPr="00BE500C">
              <w:t xml:space="preserve"> out-of-network. This puts patients at financial risk because</w:t>
            </w:r>
            <w:r w:rsidR="00742E8C">
              <w:t>,</w:t>
            </w:r>
            <w:r w:rsidRPr="00BE500C">
              <w:t xml:space="preserve"> until the plan approves the credentials of the newly hired providers, the prac</w:t>
            </w:r>
            <w:r w:rsidRPr="00BE500C">
              <w:t>tice is forced to bill the treated patient as an out-of-network patient despite the fact that the providers are with a physician group that is contracted with the health plan.</w:t>
            </w:r>
            <w:r w:rsidR="00742E8C">
              <w:t xml:space="preserve"> C.S.H.B</w:t>
            </w:r>
            <w:r w:rsidR="0040075F">
              <w:t>.</w:t>
            </w:r>
            <w:r w:rsidRPr="00BE500C">
              <w:t xml:space="preserve"> 4300 </w:t>
            </w:r>
            <w:r w:rsidR="00742E8C">
              <w:t>seeks to address this issue by</w:t>
            </w:r>
            <w:r w:rsidRPr="00BE500C">
              <w:t xml:space="preserve"> creat</w:t>
            </w:r>
            <w:r w:rsidR="00742E8C">
              <w:t>ing</w:t>
            </w:r>
            <w:r w:rsidRPr="00BE500C">
              <w:t xml:space="preserve"> an expedited credentialing</w:t>
            </w:r>
            <w:r w:rsidRPr="00BE500C">
              <w:t xml:space="preserve"> process for </w:t>
            </w:r>
            <w:r w:rsidR="00742E8C">
              <w:t xml:space="preserve">certain </w:t>
            </w:r>
            <w:r w:rsidRPr="00BE500C">
              <w:t>physician assistants</w:t>
            </w:r>
            <w:r w:rsidR="00742E8C">
              <w:t xml:space="preserve"> and advanced practice nurses</w:t>
            </w:r>
            <w:r w:rsidRPr="00BE500C">
              <w:t xml:space="preserve"> </w:t>
            </w:r>
            <w:r w:rsidR="00742E8C">
              <w:t xml:space="preserve">and </w:t>
            </w:r>
            <w:r w:rsidRPr="00BE500C">
              <w:t xml:space="preserve">requiring an insurer to grant in-network status to </w:t>
            </w:r>
            <w:r w:rsidR="00742E8C">
              <w:t>an eligible</w:t>
            </w:r>
            <w:r w:rsidR="00742E8C" w:rsidRPr="00BE500C">
              <w:t xml:space="preserve"> </w:t>
            </w:r>
            <w:r w:rsidRPr="00BE500C">
              <w:t xml:space="preserve">provider under </w:t>
            </w:r>
            <w:r w:rsidR="00742E8C">
              <w:t>an</w:t>
            </w:r>
            <w:r w:rsidRPr="00BE500C">
              <w:t xml:space="preserve"> existing contract</w:t>
            </w:r>
            <w:r w:rsidR="00742E8C">
              <w:t xml:space="preserve"> with the provider's medical group</w:t>
            </w:r>
            <w:r w:rsidRPr="00BE500C">
              <w:t xml:space="preserve">. </w:t>
            </w:r>
          </w:p>
          <w:p w14:paraId="5765E07D" w14:textId="3098D0DA" w:rsidR="008A7171" w:rsidRPr="00E26B13" w:rsidRDefault="008A7171" w:rsidP="008A7171">
            <w:pPr>
              <w:pStyle w:val="Header"/>
              <w:tabs>
                <w:tab w:val="clear" w:pos="4320"/>
                <w:tab w:val="clear" w:pos="8640"/>
              </w:tabs>
              <w:jc w:val="both"/>
              <w:rPr>
                <w:b/>
              </w:rPr>
            </w:pPr>
          </w:p>
        </w:tc>
      </w:tr>
      <w:tr w:rsidR="002F74C5" w14:paraId="5B315F3B" w14:textId="77777777" w:rsidTr="001475F5">
        <w:tc>
          <w:tcPr>
            <w:tcW w:w="9360" w:type="dxa"/>
          </w:tcPr>
          <w:p w14:paraId="1E4EE44A" w14:textId="77777777" w:rsidR="0017725B" w:rsidRDefault="002942C0" w:rsidP="008A7171">
            <w:pPr>
              <w:rPr>
                <w:b/>
                <w:u w:val="single"/>
              </w:rPr>
            </w:pPr>
            <w:r>
              <w:rPr>
                <w:b/>
                <w:u w:val="single"/>
              </w:rPr>
              <w:t>CRIMINAL JUSTICE IMPACT</w:t>
            </w:r>
          </w:p>
          <w:p w14:paraId="5398BA62" w14:textId="77777777" w:rsidR="0017725B" w:rsidRDefault="0017725B" w:rsidP="008A7171">
            <w:pPr>
              <w:rPr>
                <w:b/>
                <w:u w:val="single"/>
              </w:rPr>
            </w:pPr>
          </w:p>
          <w:p w14:paraId="5AAEA826" w14:textId="77777777" w:rsidR="0017725B" w:rsidRDefault="002942C0" w:rsidP="008A7171">
            <w:pPr>
              <w:jc w:val="both"/>
            </w:pPr>
            <w:r>
              <w:t xml:space="preserve">It is the </w:t>
            </w:r>
            <w:r>
              <w:t>committee's opinion that this bill does not expressly create a criminal offense, increase the punishment for an existing criminal offense or category of offenses, or change the eligibility of a person for community supervision, parole, or mandatory supervi</w:t>
            </w:r>
            <w:r>
              <w:t>sion.</w:t>
            </w:r>
          </w:p>
          <w:p w14:paraId="33158238" w14:textId="64D857D6" w:rsidR="008A7171" w:rsidRPr="0017725B" w:rsidRDefault="008A7171" w:rsidP="008A7171">
            <w:pPr>
              <w:jc w:val="both"/>
              <w:rPr>
                <w:b/>
                <w:u w:val="single"/>
              </w:rPr>
            </w:pPr>
          </w:p>
        </w:tc>
      </w:tr>
      <w:tr w:rsidR="002F74C5" w14:paraId="1057B4AD" w14:textId="77777777" w:rsidTr="001475F5">
        <w:tc>
          <w:tcPr>
            <w:tcW w:w="9360" w:type="dxa"/>
          </w:tcPr>
          <w:p w14:paraId="101F3FD1" w14:textId="77777777" w:rsidR="008423E4" w:rsidRPr="00A8133F" w:rsidRDefault="002942C0" w:rsidP="008A7171">
            <w:pPr>
              <w:rPr>
                <w:b/>
              </w:rPr>
            </w:pPr>
            <w:r w:rsidRPr="009C1E9A">
              <w:rPr>
                <w:b/>
                <w:u w:val="single"/>
              </w:rPr>
              <w:t>RULEMAKING AUTHORITY</w:t>
            </w:r>
            <w:r>
              <w:rPr>
                <w:b/>
              </w:rPr>
              <w:t xml:space="preserve"> </w:t>
            </w:r>
          </w:p>
          <w:p w14:paraId="19DFDF30" w14:textId="77777777" w:rsidR="008423E4" w:rsidRDefault="008423E4" w:rsidP="008A7171"/>
          <w:p w14:paraId="2F9C87E1" w14:textId="77777777" w:rsidR="008423E4" w:rsidRDefault="002942C0" w:rsidP="008A7171">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13A3031" w14:textId="797599DC" w:rsidR="008A7171" w:rsidRPr="00E21FDC" w:rsidRDefault="008A7171" w:rsidP="008A7171">
            <w:pPr>
              <w:pStyle w:val="Header"/>
              <w:tabs>
                <w:tab w:val="clear" w:pos="4320"/>
                <w:tab w:val="clear" w:pos="8640"/>
              </w:tabs>
              <w:jc w:val="both"/>
              <w:rPr>
                <w:b/>
              </w:rPr>
            </w:pPr>
          </w:p>
        </w:tc>
      </w:tr>
      <w:tr w:rsidR="002F74C5" w14:paraId="301F6C12" w14:textId="77777777" w:rsidTr="001475F5">
        <w:tc>
          <w:tcPr>
            <w:tcW w:w="9360" w:type="dxa"/>
          </w:tcPr>
          <w:p w14:paraId="14319ADF" w14:textId="23159F6D" w:rsidR="008423E4" w:rsidRDefault="002942C0" w:rsidP="008A7171">
            <w:pPr>
              <w:jc w:val="both"/>
              <w:rPr>
                <w:b/>
                <w:bCs/>
                <w:u w:val="single"/>
              </w:rPr>
            </w:pPr>
            <w:r w:rsidRPr="006D14B3">
              <w:rPr>
                <w:b/>
                <w:bCs/>
                <w:u w:val="single"/>
              </w:rPr>
              <w:t xml:space="preserve">ANALYSIS </w:t>
            </w:r>
          </w:p>
          <w:p w14:paraId="0F91E687" w14:textId="77777777" w:rsidR="008A7171" w:rsidRPr="006D14B3" w:rsidRDefault="008A7171" w:rsidP="008A7171">
            <w:pPr>
              <w:jc w:val="both"/>
              <w:rPr>
                <w:b/>
                <w:bCs/>
                <w:u w:val="single"/>
              </w:rPr>
            </w:pPr>
          </w:p>
          <w:p w14:paraId="4FB8588B" w14:textId="3BBC117E" w:rsidR="00815EDE" w:rsidRDefault="002942C0" w:rsidP="008A7171">
            <w:pPr>
              <w:jc w:val="both"/>
            </w:pPr>
            <w:r>
              <w:t>C.S.</w:t>
            </w:r>
            <w:r w:rsidR="007B3A7B">
              <w:t>H.B. 4300 amends the Insurance Code to</w:t>
            </w:r>
            <w:r w:rsidR="006D14B3">
              <w:t xml:space="preserve"> </w:t>
            </w:r>
            <w:r w:rsidR="00395125">
              <w:t xml:space="preserve">provide for an expedited credentialing process for </w:t>
            </w:r>
            <w:r w:rsidR="006D14B3">
              <w:t>a</w:t>
            </w:r>
            <w:r w:rsidR="0091347F">
              <w:t xml:space="preserve"> licensed</w:t>
            </w:r>
            <w:r w:rsidRPr="00815EDE">
              <w:t xml:space="preserve"> physician assistant or </w:t>
            </w:r>
            <w:r w:rsidR="0091347F">
              <w:t xml:space="preserve">a registered nurse licensed by the Texas Board of Nursing to practice as an </w:t>
            </w:r>
            <w:r w:rsidRPr="00D40447">
              <w:t xml:space="preserve">advanced practice nurse </w:t>
            </w:r>
            <w:r w:rsidR="006D14B3" w:rsidRPr="00815EDE">
              <w:t>who joins</w:t>
            </w:r>
            <w:r w:rsidR="0091347F">
              <w:t>, as an employee,</w:t>
            </w:r>
            <w:r w:rsidR="006D14B3" w:rsidRPr="00815EDE">
              <w:t xml:space="preserve"> an established medical group that has a contract with a managed care plan</w:t>
            </w:r>
            <w:r w:rsidR="0091347F">
              <w:t xml:space="preserve"> </w:t>
            </w:r>
            <w:r w:rsidR="0091347F" w:rsidRPr="0091347F">
              <w:t>that already includes contracted rates for physician assistants or advanced practice nurses employed by the medical group</w:t>
            </w:r>
            <w:r w:rsidR="00395125">
              <w:t>.</w:t>
            </w:r>
            <w:r>
              <w:t xml:space="preserve"> </w:t>
            </w:r>
            <w:r w:rsidR="005F68BE">
              <w:t xml:space="preserve">The bill defines "medical group" as </w:t>
            </w:r>
            <w:r w:rsidR="005F68BE" w:rsidRPr="005F68BE">
              <w:t xml:space="preserve">a professional association composed solely of </w:t>
            </w:r>
            <w:r w:rsidR="005F68BE">
              <w:t xml:space="preserve">licensed </w:t>
            </w:r>
            <w:r w:rsidR="005F68BE" w:rsidRPr="005F68BE">
              <w:t xml:space="preserve">physicians </w:t>
            </w:r>
            <w:r w:rsidR="005F68BE">
              <w:t xml:space="preserve">or a </w:t>
            </w:r>
            <w:r w:rsidR="005F68BE" w:rsidRPr="005F68BE">
              <w:t xml:space="preserve">single legal entity authorized to practice medicine in </w:t>
            </w:r>
            <w:r w:rsidR="005F68BE">
              <w:t>Texas</w:t>
            </w:r>
            <w:r w:rsidR="005F68BE" w:rsidRPr="005F68BE">
              <w:t xml:space="preserve"> that is owned by two or more</w:t>
            </w:r>
            <w:r w:rsidR="005F68BE">
              <w:t xml:space="preserve"> licensed</w:t>
            </w:r>
            <w:r w:rsidR="005F68BE" w:rsidRPr="005F68BE">
              <w:t xml:space="preserve"> physicians</w:t>
            </w:r>
            <w:r w:rsidR="005F68BE">
              <w:t>. The bill establishes that a managed care plan includes a health benefit plan issued by a health maintenance organization, a preferred provider benefit plan issuer, or any other entity that issues a health benefit plan, including an insurance company.</w:t>
            </w:r>
            <w:r w:rsidR="005F68BE" w:rsidRPr="005F68BE">
              <w:t xml:space="preserve"> </w:t>
            </w:r>
            <w:r w:rsidR="00395125">
              <w:t>T</w:t>
            </w:r>
            <w:r>
              <w:t xml:space="preserve">o </w:t>
            </w:r>
            <w:r w:rsidRPr="00815EDE">
              <w:t xml:space="preserve">qualify for </w:t>
            </w:r>
            <w:r w:rsidR="00395125">
              <w:t xml:space="preserve">the </w:t>
            </w:r>
            <w:r w:rsidR="001F21C8">
              <w:t xml:space="preserve">expedited credentialing </w:t>
            </w:r>
            <w:r w:rsidR="00395125">
              <w:t>process</w:t>
            </w:r>
            <w:r>
              <w:t xml:space="preserve">, </w:t>
            </w:r>
            <w:r w:rsidR="00F5505B">
              <w:t>a physician assistant or</w:t>
            </w:r>
            <w:r w:rsidR="0084397D">
              <w:t xml:space="preserve"> advanced practice</w:t>
            </w:r>
            <w:r w:rsidR="00F5505B">
              <w:t xml:space="preserve"> nurse </w:t>
            </w:r>
            <w:r w:rsidR="00C15724">
              <w:t xml:space="preserve">must </w:t>
            </w:r>
            <w:r w:rsidR="00F5505B">
              <w:t xml:space="preserve">satisfy </w:t>
            </w:r>
            <w:r w:rsidR="00C15724">
              <w:t xml:space="preserve">the </w:t>
            </w:r>
            <w:r>
              <w:t xml:space="preserve">following </w:t>
            </w:r>
            <w:r w:rsidR="00C15724">
              <w:t>requirements:</w:t>
            </w:r>
          </w:p>
          <w:p w14:paraId="43E09C04" w14:textId="0D57B11B" w:rsidR="006D14B3" w:rsidRDefault="002942C0" w:rsidP="008A7171">
            <w:pPr>
              <w:pStyle w:val="ListParagraph"/>
              <w:numPr>
                <w:ilvl w:val="0"/>
                <w:numId w:val="2"/>
              </w:numPr>
              <w:contextualSpacing w:val="0"/>
              <w:jc w:val="both"/>
            </w:pPr>
            <w:r>
              <w:t xml:space="preserve">be licensed by, and in good standing with, the Texas Physician Assistant Board or </w:t>
            </w:r>
            <w:r w:rsidR="00F5505B">
              <w:t xml:space="preserve">the </w:t>
            </w:r>
            <w:r>
              <w:t xml:space="preserve">Texas </w:t>
            </w:r>
            <w:r w:rsidR="006F7EE9">
              <w:t xml:space="preserve">Board of </w:t>
            </w:r>
            <w:r>
              <w:t>Nursing;</w:t>
            </w:r>
          </w:p>
          <w:p w14:paraId="46D1C0A4" w14:textId="4595B899" w:rsidR="006D14B3" w:rsidRDefault="002942C0" w:rsidP="008A7171">
            <w:pPr>
              <w:pStyle w:val="ListParagraph"/>
              <w:numPr>
                <w:ilvl w:val="0"/>
                <w:numId w:val="2"/>
              </w:numPr>
              <w:contextualSpacing w:val="0"/>
              <w:jc w:val="both"/>
            </w:pPr>
            <w:r>
              <w:t xml:space="preserve">submit all documentation and other information required by the managed care plan issuer to begin the credentialing process required </w:t>
            </w:r>
            <w:r>
              <w:t xml:space="preserve">for the issuer to include the physician assistant or </w:t>
            </w:r>
            <w:r w:rsidR="00D40447" w:rsidRPr="00D40447">
              <w:t xml:space="preserve">advanced practice nurse </w:t>
            </w:r>
            <w:r>
              <w:t xml:space="preserve">in the plan's network; </w:t>
            </w:r>
          </w:p>
          <w:p w14:paraId="3C8574F2" w14:textId="553CB772" w:rsidR="00982A78" w:rsidRDefault="002942C0" w:rsidP="008A7171">
            <w:pPr>
              <w:pStyle w:val="ListParagraph"/>
              <w:numPr>
                <w:ilvl w:val="0"/>
                <w:numId w:val="2"/>
              </w:numPr>
              <w:contextualSpacing w:val="0"/>
              <w:jc w:val="both"/>
            </w:pPr>
            <w:r>
              <w:t xml:space="preserve">agree to comply with the terms of the managed care plan's participating provider contract with the physician assistant's or </w:t>
            </w:r>
            <w:r w:rsidR="0084397D">
              <w:t xml:space="preserve">advanced practice </w:t>
            </w:r>
            <w:r>
              <w:t>nurse's estab</w:t>
            </w:r>
            <w:r>
              <w:t>lished medical group</w:t>
            </w:r>
            <w:r w:rsidR="00963F04">
              <w:t>,</w:t>
            </w:r>
            <w:r w:rsidR="0084397D">
              <w:t xml:space="preserve"> </w:t>
            </w:r>
            <w:r w:rsidR="0084397D" w:rsidRPr="0084397D">
              <w:t>including the rates applicable to other physician assistants or advanced practice nurses under the contract; and</w:t>
            </w:r>
          </w:p>
          <w:p w14:paraId="312BD63A" w14:textId="6A275403" w:rsidR="0084397D" w:rsidRPr="00982A78" w:rsidRDefault="002942C0" w:rsidP="008A7171">
            <w:pPr>
              <w:pStyle w:val="ListParagraph"/>
              <w:numPr>
                <w:ilvl w:val="0"/>
                <w:numId w:val="2"/>
              </w:numPr>
              <w:contextualSpacing w:val="0"/>
              <w:jc w:val="both"/>
            </w:pPr>
            <w:r w:rsidRPr="0084397D">
              <w:t>have received express written consent from the physician assistant's or advanced practice nurse's established medical gro</w:t>
            </w:r>
            <w:r w:rsidRPr="0084397D">
              <w:t>up to apply for expedited credentialing</w:t>
            </w:r>
            <w:r>
              <w:t>.</w:t>
            </w:r>
          </w:p>
          <w:p w14:paraId="6CDB44A0" w14:textId="744453D6" w:rsidR="00C15724" w:rsidRDefault="002942C0" w:rsidP="008A7171">
            <w:pPr>
              <w:jc w:val="both"/>
              <w:rPr>
                <w:rFonts w:ascii="Consolas" w:hAnsi="Consolas" w:cs="Courier New"/>
                <w:color w:val="333333"/>
                <w:sz w:val="20"/>
                <w:szCs w:val="20"/>
              </w:rPr>
            </w:pPr>
            <w:r>
              <w:t xml:space="preserve">After </w:t>
            </w:r>
            <w:r w:rsidR="0097140A">
              <w:t>a</w:t>
            </w:r>
            <w:r w:rsidR="008D5F5C">
              <w:t xml:space="preserve"> physician assistant or</w:t>
            </w:r>
            <w:r w:rsidR="0084397D">
              <w:t xml:space="preserve"> advanced practice</w:t>
            </w:r>
            <w:r w:rsidR="008D5F5C">
              <w:t xml:space="preserve"> nurse</w:t>
            </w:r>
            <w:r w:rsidR="0097140A">
              <w:t xml:space="preserve"> applicant </w:t>
            </w:r>
            <w:r>
              <w:t xml:space="preserve">has </w:t>
            </w:r>
            <w:r w:rsidR="0084397D" w:rsidRPr="0084397D">
              <w:t xml:space="preserve">met </w:t>
            </w:r>
            <w:r w:rsidR="0084397D">
              <w:t>such</w:t>
            </w:r>
            <w:r w:rsidR="0084397D" w:rsidRPr="0084397D">
              <w:t xml:space="preserve"> eligibility requirements</w:t>
            </w:r>
            <w:r w:rsidR="0097140A">
              <w:t xml:space="preserve">, </w:t>
            </w:r>
            <w:r w:rsidR="001A1ED8">
              <w:t xml:space="preserve">the </w:t>
            </w:r>
            <w:r w:rsidR="0097140A">
              <w:t xml:space="preserve">issuer </w:t>
            </w:r>
            <w:r w:rsidR="001A1ED8">
              <w:t>must</w:t>
            </w:r>
            <w:r w:rsidR="0097140A">
              <w:t xml:space="preserve">, for </w:t>
            </w:r>
            <w:r w:rsidR="001A1ED8">
              <w:t xml:space="preserve">payment </w:t>
            </w:r>
            <w:r w:rsidR="0097140A">
              <w:t xml:space="preserve">purposes </w:t>
            </w:r>
            <w:r w:rsidR="001A1ED8">
              <w:t>only</w:t>
            </w:r>
            <w:r w:rsidR="0097140A">
              <w:t>,</w:t>
            </w:r>
            <w:r w:rsidR="001A1ED8">
              <w:t xml:space="preserve"> treat the applicant</w:t>
            </w:r>
            <w:r w:rsidR="0097140A">
              <w:t xml:space="preserve"> as if the applicant is a participating provider in the plan's network when the applicant provides services to the plan's enrollees</w:t>
            </w:r>
            <w:r w:rsidR="00D40447">
              <w:t xml:space="preserve"> as an employee of </w:t>
            </w:r>
            <w:r w:rsidR="00963F04">
              <w:t>that the applicant's</w:t>
            </w:r>
            <w:r w:rsidR="00D40447">
              <w:t xml:space="preserve"> established medical group</w:t>
            </w:r>
            <w:r w:rsidR="0097140A">
              <w:t>, including authorizing the applicant</w:t>
            </w:r>
            <w:r w:rsidR="00D40447">
              <w:t>'s medical group</w:t>
            </w:r>
            <w:r w:rsidR="0097140A">
              <w:t xml:space="preserve"> to collect copayments from the enrollees </w:t>
            </w:r>
            <w:r w:rsidR="00D40447">
              <w:t xml:space="preserve">for the applicant's services </w:t>
            </w:r>
            <w:r w:rsidR="0097140A">
              <w:t xml:space="preserve">and making payments to the </w:t>
            </w:r>
            <w:r w:rsidR="00D40447" w:rsidRPr="00D40447">
              <w:t xml:space="preserve">applicant's medical group for </w:t>
            </w:r>
            <w:r w:rsidR="000822F7">
              <w:t>the</w:t>
            </w:r>
            <w:r w:rsidR="00D40447" w:rsidRPr="00D40447">
              <w:t xml:space="preserve"> applicant's services</w:t>
            </w:r>
            <w:r w:rsidR="00D40447">
              <w:t>.</w:t>
            </w:r>
          </w:p>
          <w:p w14:paraId="3A710081" w14:textId="77777777" w:rsidR="00982A78" w:rsidRDefault="00982A78" w:rsidP="008A7171">
            <w:pPr>
              <w:jc w:val="both"/>
            </w:pPr>
          </w:p>
          <w:p w14:paraId="52DBA4D7" w14:textId="06EEE0C4" w:rsidR="003D06BA" w:rsidRDefault="002942C0" w:rsidP="008A7171">
            <w:pPr>
              <w:jc w:val="both"/>
            </w:pPr>
            <w:r>
              <w:t>C.S.</w:t>
            </w:r>
            <w:r w:rsidR="006D14B3">
              <w:t xml:space="preserve">H.B. 4300 </w:t>
            </w:r>
            <w:r w:rsidR="000822F7">
              <w:t>prohibits the bill from being construed a</w:t>
            </w:r>
            <w:r w:rsidR="00F079F9">
              <w:t>s</w:t>
            </w:r>
            <w:r w:rsidR="000822F7">
              <w:t xml:space="preserve"> requiring the</w:t>
            </w:r>
            <w:r w:rsidR="0097140A">
              <w:t xml:space="preserve"> </w:t>
            </w:r>
            <w:r w:rsidR="0080788B" w:rsidRPr="0080788B">
              <w:t xml:space="preserve">managed care plan </w:t>
            </w:r>
            <w:r w:rsidR="0097140A">
              <w:t xml:space="preserve">issuer to </w:t>
            </w:r>
            <w:r w:rsidR="000822F7">
              <w:t xml:space="preserve">include </w:t>
            </w:r>
            <w:r w:rsidR="00FC6869">
              <w:t xml:space="preserve">an </w:t>
            </w:r>
            <w:r w:rsidR="0097140A" w:rsidRPr="0097140A">
              <w:t xml:space="preserve">applicant </w:t>
            </w:r>
            <w:r w:rsidR="000822F7">
              <w:t>in</w:t>
            </w:r>
            <w:r w:rsidR="000822F7" w:rsidRPr="0097140A">
              <w:t xml:space="preserve"> </w:t>
            </w:r>
            <w:r w:rsidR="0097140A" w:rsidRPr="0097140A">
              <w:t>the plan's directory, website listing, or other listing of participating providers</w:t>
            </w:r>
            <w:r w:rsidR="0097140A">
              <w:t>.</w:t>
            </w:r>
            <w:r w:rsidR="00C05719">
              <w:t xml:space="preserve"> </w:t>
            </w:r>
            <w:r>
              <w:t xml:space="preserve">If the issuer </w:t>
            </w:r>
            <w:r w:rsidRPr="003D06BA">
              <w:t>determines that the applicant does not meet the issuer's credentialing requirements</w:t>
            </w:r>
            <w:r>
              <w:t xml:space="preserve"> </w:t>
            </w:r>
            <w:r w:rsidRPr="003D06BA">
              <w:t>on completion of the credentialing process</w:t>
            </w:r>
            <w:r>
              <w:t xml:space="preserve">, the issuer may </w:t>
            </w:r>
            <w:r w:rsidRPr="003D06BA">
              <w:t xml:space="preserve">recover from the applicant's medical </w:t>
            </w:r>
            <w:r w:rsidRPr="003D06BA">
              <w:t xml:space="preserve">group </w:t>
            </w:r>
            <w:r w:rsidR="00CA7930">
              <w:t xml:space="preserve">that was paid for the applicant's services </w:t>
            </w:r>
            <w:r w:rsidRPr="003D06BA">
              <w:t>an amount equal to the difference between payments for in-network benefits and out-of-network benefits</w:t>
            </w:r>
            <w:r w:rsidR="008D5F5C">
              <w:t>,</w:t>
            </w:r>
            <w:r>
              <w:t xml:space="preserve"> and </w:t>
            </w:r>
            <w:r w:rsidRPr="003D06BA">
              <w:t>the applicant's medical group may retain any copayments collected or in the process of being collec</w:t>
            </w:r>
            <w:r w:rsidRPr="003D06BA">
              <w:t>ted as of the date of the issuer's determination</w:t>
            </w:r>
            <w:r>
              <w:t>.</w:t>
            </w:r>
          </w:p>
          <w:p w14:paraId="01193C55" w14:textId="77777777" w:rsidR="00982A78" w:rsidRDefault="00982A78" w:rsidP="008A7171">
            <w:pPr>
              <w:jc w:val="both"/>
            </w:pPr>
          </w:p>
          <w:p w14:paraId="1D3604AE" w14:textId="420AB9C6" w:rsidR="007B3A7B" w:rsidRDefault="002942C0" w:rsidP="008A7171">
            <w:pPr>
              <w:jc w:val="both"/>
            </w:pPr>
            <w:r>
              <w:t>C.S.</w:t>
            </w:r>
            <w:r w:rsidR="006D14B3">
              <w:t xml:space="preserve">H.B. 4300 </w:t>
            </w:r>
            <w:r w:rsidR="003D06BA">
              <w:t xml:space="preserve">establishes that a </w:t>
            </w:r>
            <w:r w:rsidR="0080788B">
              <w:t xml:space="preserve">managed care plan </w:t>
            </w:r>
            <w:r w:rsidR="003D06BA">
              <w:t xml:space="preserve">enrollee is not responsible and is to be held harmless </w:t>
            </w:r>
            <w:r w:rsidR="003D06BA" w:rsidRPr="003D06BA">
              <w:t>for the difference between in-network copayments paid by the enrollee to</w:t>
            </w:r>
            <w:r w:rsidR="00D40447">
              <w:t xml:space="preserve"> </w:t>
            </w:r>
            <w:r w:rsidR="00D40447" w:rsidRPr="00D40447">
              <w:t>an applicant's medical group for services provided by an employee applicant</w:t>
            </w:r>
            <w:r w:rsidR="00D40447">
              <w:t xml:space="preserve"> </w:t>
            </w:r>
            <w:r w:rsidR="003D06BA" w:rsidRPr="003D06BA">
              <w:t xml:space="preserve">physician assistant or </w:t>
            </w:r>
            <w:r w:rsidR="00D40447">
              <w:t xml:space="preserve">advanced practice </w:t>
            </w:r>
            <w:r w:rsidR="003D06BA" w:rsidRPr="003D06BA">
              <w:t>nurse who is determined to be ineligible</w:t>
            </w:r>
            <w:r w:rsidR="003D06BA">
              <w:t xml:space="preserve"> </w:t>
            </w:r>
            <w:r w:rsidR="008D5F5C">
              <w:t>with respect to the</w:t>
            </w:r>
            <w:r w:rsidR="00E649B5">
              <w:t xml:space="preserve"> credentialing </w:t>
            </w:r>
            <w:r w:rsidR="008D5F5C">
              <w:t xml:space="preserve">requirements </w:t>
            </w:r>
            <w:r w:rsidR="003D06BA" w:rsidRPr="003D06BA">
              <w:t xml:space="preserve">and </w:t>
            </w:r>
            <w:r w:rsidR="0080788B">
              <w:t xml:space="preserve">for </w:t>
            </w:r>
            <w:r w:rsidR="003D06BA" w:rsidRPr="003D06BA">
              <w:t>the enrollee's plan's charges for out-of-network services.</w:t>
            </w:r>
            <w:r w:rsidR="003D06BA">
              <w:t xml:space="preserve"> The bill prohibits t</w:t>
            </w:r>
            <w:r w:rsidR="003D06BA" w:rsidRPr="003D06BA">
              <w:t>he physician assistant</w:t>
            </w:r>
            <w:r w:rsidR="0059015A">
              <w:t>'s</w:t>
            </w:r>
            <w:r w:rsidR="003D06BA" w:rsidRPr="003D06BA">
              <w:t xml:space="preserve"> or </w:t>
            </w:r>
            <w:r w:rsidR="00D40447" w:rsidRPr="00D40447">
              <w:t>advanced practice nurse</w:t>
            </w:r>
            <w:r w:rsidR="0059015A">
              <w:t>'s</w:t>
            </w:r>
            <w:r w:rsidR="00D40447" w:rsidRPr="00D40447">
              <w:t xml:space="preserve"> </w:t>
            </w:r>
            <w:r w:rsidR="003D06BA" w:rsidRPr="003D06BA">
              <w:t>medical group</w:t>
            </w:r>
            <w:r w:rsidR="003D06BA">
              <w:t xml:space="preserve"> from charging </w:t>
            </w:r>
            <w:r w:rsidR="00C2100E" w:rsidRPr="00C2100E">
              <w:t xml:space="preserve">the enrollee for any portion of the physician assistant's or </w:t>
            </w:r>
            <w:r w:rsidR="00D40447" w:rsidRPr="00D40447">
              <w:t>advanced practice nurs</w:t>
            </w:r>
            <w:r w:rsidR="00D40447">
              <w:t xml:space="preserve">e's </w:t>
            </w:r>
            <w:r w:rsidR="00C2100E" w:rsidRPr="00C2100E">
              <w:t>fee that is not paid or reimbursed by the plan.</w:t>
            </w:r>
          </w:p>
          <w:p w14:paraId="517155D6" w14:textId="77777777" w:rsidR="00982A78" w:rsidRDefault="00982A78" w:rsidP="008A7171">
            <w:pPr>
              <w:jc w:val="both"/>
            </w:pPr>
          </w:p>
          <w:p w14:paraId="633CD232" w14:textId="77777777" w:rsidR="008423E4" w:rsidRDefault="002942C0" w:rsidP="008A7171">
            <w:pPr>
              <w:jc w:val="both"/>
            </w:pPr>
            <w:r>
              <w:t>C.S.</w:t>
            </w:r>
            <w:r w:rsidR="006D14B3">
              <w:t xml:space="preserve">H.B. 4300 </w:t>
            </w:r>
            <w:r w:rsidR="00982A78">
              <w:t>exempts a managed care plan issuer in compliance with the</w:t>
            </w:r>
            <w:r w:rsidR="0080788B">
              <w:t xml:space="preserve"> bill's</w:t>
            </w:r>
            <w:r w:rsidR="00982A78">
              <w:t xml:space="preserve"> provision</w:t>
            </w:r>
            <w:r w:rsidR="0080788B">
              <w:t>s</w:t>
            </w:r>
            <w:r w:rsidR="00982A78">
              <w:t xml:space="preserve"> from </w:t>
            </w:r>
            <w:r w:rsidR="00982A78" w:rsidRPr="00982A78">
              <w:t>liability for damages arising out of or in connection with, directly or indirectly, the payment by the issuer of a physician assistant</w:t>
            </w:r>
            <w:r w:rsidR="00D40447">
              <w:t>'s</w:t>
            </w:r>
            <w:r w:rsidR="00982A78" w:rsidRPr="00982A78">
              <w:t xml:space="preserve"> or </w:t>
            </w:r>
            <w:r w:rsidR="00D40447" w:rsidRPr="00D40447">
              <w:t xml:space="preserve">advanced practice nurse's medical group for services provided by the medical group's employed physician assistant or advanced practice nurse </w:t>
            </w:r>
            <w:r w:rsidR="00982A78" w:rsidRPr="00982A78">
              <w:t xml:space="preserve">treated as if the physician assistant or </w:t>
            </w:r>
            <w:r w:rsidR="00D40447" w:rsidRPr="00D40447">
              <w:t xml:space="preserve">advanced practice nurse </w:t>
            </w:r>
            <w:r w:rsidR="00982A78" w:rsidRPr="00982A78">
              <w:t>is a participating provider in the plan's network</w:t>
            </w:r>
            <w:r w:rsidR="0002448C">
              <w:t xml:space="preserve"> under an expedited credentialing process</w:t>
            </w:r>
            <w:r w:rsidR="00982A78" w:rsidRPr="00982A78">
              <w:t>.</w:t>
            </w:r>
          </w:p>
          <w:p w14:paraId="33FDF150" w14:textId="6B4578EB" w:rsidR="008A7171" w:rsidRPr="00835628" w:rsidRDefault="008A7171" w:rsidP="008A7171">
            <w:pPr>
              <w:jc w:val="both"/>
            </w:pPr>
          </w:p>
        </w:tc>
      </w:tr>
      <w:tr w:rsidR="002F74C5" w14:paraId="595592A9" w14:textId="77777777" w:rsidTr="001475F5">
        <w:tc>
          <w:tcPr>
            <w:tcW w:w="9360" w:type="dxa"/>
          </w:tcPr>
          <w:p w14:paraId="4081B87E" w14:textId="77777777" w:rsidR="008423E4" w:rsidRPr="00A8133F" w:rsidRDefault="002942C0" w:rsidP="008A7171">
            <w:pPr>
              <w:rPr>
                <w:b/>
              </w:rPr>
            </w:pPr>
            <w:r w:rsidRPr="009C1E9A">
              <w:rPr>
                <w:b/>
                <w:u w:val="single"/>
              </w:rPr>
              <w:t>E</w:t>
            </w:r>
            <w:r w:rsidRPr="009C1E9A">
              <w:rPr>
                <w:b/>
                <w:u w:val="single"/>
              </w:rPr>
              <w:t>FFECTIVE DATE</w:t>
            </w:r>
            <w:r>
              <w:rPr>
                <w:b/>
              </w:rPr>
              <w:t xml:space="preserve"> </w:t>
            </w:r>
          </w:p>
          <w:p w14:paraId="4B8F9E54" w14:textId="77777777" w:rsidR="008423E4" w:rsidRDefault="008423E4" w:rsidP="008A7171"/>
          <w:p w14:paraId="77264834" w14:textId="77777777" w:rsidR="008423E4" w:rsidRDefault="002942C0" w:rsidP="008A7171">
            <w:pPr>
              <w:pStyle w:val="Header"/>
              <w:tabs>
                <w:tab w:val="clear" w:pos="4320"/>
                <w:tab w:val="clear" w:pos="8640"/>
              </w:tabs>
              <w:jc w:val="both"/>
            </w:pPr>
            <w:r>
              <w:t>September 1, 2023.</w:t>
            </w:r>
          </w:p>
          <w:p w14:paraId="76028281" w14:textId="2F58A7B3" w:rsidR="008A7171" w:rsidRPr="00233FDB" w:rsidRDefault="008A7171" w:rsidP="008A7171">
            <w:pPr>
              <w:pStyle w:val="Header"/>
              <w:tabs>
                <w:tab w:val="clear" w:pos="4320"/>
                <w:tab w:val="clear" w:pos="8640"/>
              </w:tabs>
              <w:jc w:val="both"/>
              <w:rPr>
                <w:b/>
              </w:rPr>
            </w:pPr>
          </w:p>
        </w:tc>
      </w:tr>
      <w:tr w:rsidR="002F74C5" w14:paraId="73CFBA2C" w14:textId="77777777" w:rsidTr="001475F5">
        <w:tc>
          <w:tcPr>
            <w:tcW w:w="9360" w:type="dxa"/>
          </w:tcPr>
          <w:p w14:paraId="139E9F76" w14:textId="55A7FC9F" w:rsidR="00917F6A" w:rsidRDefault="002942C0" w:rsidP="008A7171">
            <w:pPr>
              <w:jc w:val="both"/>
              <w:rPr>
                <w:b/>
                <w:u w:val="single"/>
              </w:rPr>
            </w:pPr>
            <w:r>
              <w:rPr>
                <w:b/>
                <w:u w:val="single"/>
              </w:rPr>
              <w:t>COMPARISON OF INTRODUCED AND SUBSTITUTE</w:t>
            </w:r>
          </w:p>
          <w:p w14:paraId="0695121A" w14:textId="77777777" w:rsidR="001475F5" w:rsidRDefault="001475F5" w:rsidP="008A7171">
            <w:pPr>
              <w:jc w:val="both"/>
            </w:pPr>
          </w:p>
          <w:p w14:paraId="0CEEB6FD" w14:textId="3D3CA3FE" w:rsidR="001475F5" w:rsidRDefault="002942C0" w:rsidP="008A7171">
            <w:pPr>
              <w:jc w:val="both"/>
            </w:pPr>
            <w:r>
              <w:t xml:space="preserve">While C.S.H.B. 4300 may differ from the introduced in minor or nonsubstantive ways, the following summarizes the substantial differences between the introduced and </w:t>
            </w:r>
            <w:r>
              <w:t>committee substitute versions of the bill.</w:t>
            </w:r>
          </w:p>
          <w:p w14:paraId="1FBCD01B" w14:textId="77777777" w:rsidR="00F15CAA" w:rsidRDefault="00F15CAA" w:rsidP="008A7171">
            <w:pPr>
              <w:jc w:val="both"/>
              <w:rPr>
                <w:bCs/>
              </w:rPr>
            </w:pPr>
          </w:p>
          <w:p w14:paraId="6B4DB9BE" w14:textId="57449355" w:rsidR="00F15CAA" w:rsidRDefault="002942C0" w:rsidP="008A7171">
            <w:pPr>
              <w:jc w:val="both"/>
              <w:rPr>
                <w:bCs/>
              </w:rPr>
            </w:pPr>
            <w:r w:rsidRPr="00D77F57">
              <w:rPr>
                <w:bCs/>
              </w:rPr>
              <w:t xml:space="preserve">The substitute includes </w:t>
            </w:r>
            <w:r>
              <w:rPr>
                <w:bCs/>
              </w:rPr>
              <w:t>definitions for "physician" and "physician assistant</w:t>
            </w:r>
            <w:r w:rsidRPr="00D77F57">
              <w:rPr>
                <w:bCs/>
              </w:rPr>
              <w:t>,</w:t>
            </w:r>
            <w:r>
              <w:rPr>
                <w:bCs/>
              </w:rPr>
              <w:t>"</w:t>
            </w:r>
            <w:r w:rsidRPr="00D77F57">
              <w:rPr>
                <w:bCs/>
              </w:rPr>
              <w:t xml:space="preserve"> which did not appear in the introduced</w:t>
            </w:r>
            <w:r>
              <w:rPr>
                <w:bCs/>
              </w:rPr>
              <w:t xml:space="preserve">, and </w:t>
            </w:r>
            <w:r w:rsidR="00E90E49">
              <w:rPr>
                <w:bCs/>
              </w:rPr>
              <w:t>changes</w:t>
            </w:r>
            <w:r>
              <w:rPr>
                <w:bCs/>
              </w:rPr>
              <w:t xml:space="preserve"> the definition of "medical group" </w:t>
            </w:r>
            <w:r w:rsidR="00E90E49">
              <w:rPr>
                <w:bCs/>
              </w:rPr>
              <w:t xml:space="preserve">provided in the introduced version </w:t>
            </w:r>
            <w:r>
              <w:rPr>
                <w:bCs/>
              </w:rPr>
              <w:t>as follows:</w:t>
            </w:r>
          </w:p>
          <w:p w14:paraId="786C8326" w14:textId="77777777" w:rsidR="00F15CAA" w:rsidRDefault="002942C0" w:rsidP="008A7171">
            <w:pPr>
              <w:pStyle w:val="ListParagraph"/>
              <w:numPr>
                <w:ilvl w:val="0"/>
                <w:numId w:val="3"/>
              </w:numPr>
              <w:contextualSpacing w:val="0"/>
              <w:jc w:val="both"/>
              <w:rPr>
                <w:bCs/>
              </w:rPr>
            </w:pPr>
            <w:r>
              <w:rPr>
                <w:bCs/>
              </w:rPr>
              <w:t>includes a specification that a single legal entity owned by two or more physicians be such an entity that is authorized to practice medicine in Texas, which was not in the introduced;</w:t>
            </w:r>
          </w:p>
          <w:p w14:paraId="0C40E27F" w14:textId="34AECDD9" w:rsidR="000A3609" w:rsidRDefault="002942C0" w:rsidP="008A7171">
            <w:pPr>
              <w:pStyle w:val="ListParagraph"/>
              <w:numPr>
                <w:ilvl w:val="0"/>
                <w:numId w:val="3"/>
              </w:numPr>
              <w:contextualSpacing w:val="0"/>
              <w:jc w:val="both"/>
              <w:rPr>
                <w:bCs/>
              </w:rPr>
            </w:pPr>
            <w:r>
              <w:rPr>
                <w:bCs/>
              </w:rPr>
              <w:t xml:space="preserve">includes a specification that the professional association composed of </w:t>
            </w:r>
            <w:r>
              <w:rPr>
                <w:bCs/>
              </w:rPr>
              <w:t>licensed physicians be solely composed of such physician</w:t>
            </w:r>
            <w:r w:rsidR="00BA6B29">
              <w:rPr>
                <w:bCs/>
              </w:rPr>
              <w:t>s</w:t>
            </w:r>
            <w:r>
              <w:rPr>
                <w:bCs/>
              </w:rPr>
              <w:t>, which was not in the introduced; and</w:t>
            </w:r>
          </w:p>
          <w:p w14:paraId="200B2509" w14:textId="6B35EB38" w:rsidR="001475F5" w:rsidRPr="00F15CAA" w:rsidRDefault="002942C0" w:rsidP="008A7171">
            <w:pPr>
              <w:pStyle w:val="ListParagraph"/>
              <w:numPr>
                <w:ilvl w:val="0"/>
                <w:numId w:val="3"/>
              </w:numPr>
              <w:contextualSpacing w:val="0"/>
              <w:jc w:val="both"/>
              <w:rPr>
                <w:bCs/>
              </w:rPr>
            </w:pPr>
            <w:r>
              <w:rPr>
                <w:bCs/>
              </w:rPr>
              <w:t xml:space="preserve">omits provisions from the introduced including in that term any other business entity composed of licensed physicians or two or more physicians </w:t>
            </w:r>
            <w:r w:rsidRPr="000A3609">
              <w:rPr>
                <w:bCs/>
              </w:rPr>
              <w:t>on the medical s</w:t>
            </w:r>
            <w:r w:rsidRPr="000A3609">
              <w:rPr>
                <w:bCs/>
              </w:rPr>
              <w:t>taff of, or teaching at, a medical school or medical and dental unit</w:t>
            </w:r>
            <w:r w:rsidR="00D77F57" w:rsidRPr="00F15CAA">
              <w:rPr>
                <w:bCs/>
              </w:rPr>
              <w:t>.</w:t>
            </w:r>
          </w:p>
          <w:p w14:paraId="0638CECD" w14:textId="4C623B34" w:rsidR="00D77F57" w:rsidRDefault="00D77F57" w:rsidP="008A7171">
            <w:pPr>
              <w:jc w:val="both"/>
              <w:rPr>
                <w:bCs/>
              </w:rPr>
            </w:pPr>
          </w:p>
          <w:p w14:paraId="6F862496" w14:textId="03875A60" w:rsidR="00D77F57" w:rsidRDefault="002942C0" w:rsidP="008A7171">
            <w:pPr>
              <w:jc w:val="both"/>
              <w:rPr>
                <w:bCs/>
              </w:rPr>
            </w:pPr>
            <w:r w:rsidRPr="00D77F57">
              <w:rPr>
                <w:bCs/>
              </w:rPr>
              <w:t>The</w:t>
            </w:r>
            <w:r w:rsidR="00BA6B29">
              <w:rPr>
                <w:bCs/>
              </w:rPr>
              <w:t xml:space="preserve"> substitute</w:t>
            </w:r>
            <w:r w:rsidRPr="00D77F57">
              <w:rPr>
                <w:bCs/>
              </w:rPr>
              <w:t xml:space="preserve"> </w:t>
            </w:r>
            <w:r w:rsidR="00E90E49">
              <w:rPr>
                <w:bCs/>
              </w:rPr>
              <w:t>changes</w:t>
            </w:r>
            <w:r w:rsidRPr="00D77F57">
              <w:rPr>
                <w:bCs/>
              </w:rPr>
              <w:t xml:space="preserve"> a provision </w:t>
            </w:r>
            <w:r w:rsidR="00E90E49">
              <w:rPr>
                <w:bCs/>
              </w:rPr>
              <w:t xml:space="preserve">found </w:t>
            </w:r>
            <w:r w:rsidRPr="00D77F57">
              <w:rPr>
                <w:bCs/>
              </w:rPr>
              <w:t xml:space="preserve">in the introduced regarding </w:t>
            </w:r>
            <w:r>
              <w:rPr>
                <w:bCs/>
              </w:rPr>
              <w:t>the</w:t>
            </w:r>
            <w:r w:rsidR="00486840">
              <w:rPr>
                <w:bCs/>
              </w:rPr>
              <w:t xml:space="preserve"> bill's</w:t>
            </w:r>
            <w:r>
              <w:rPr>
                <w:bCs/>
              </w:rPr>
              <w:t xml:space="preserve"> applicability</w:t>
            </w:r>
            <w:r w:rsidR="00486840">
              <w:rPr>
                <w:bCs/>
              </w:rPr>
              <w:t>.</w:t>
            </w:r>
            <w:r>
              <w:rPr>
                <w:bCs/>
              </w:rPr>
              <w:t xml:space="preserve"> </w:t>
            </w:r>
            <w:r w:rsidR="00486840">
              <w:rPr>
                <w:bCs/>
              </w:rPr>
              <w:t xml:space="preserve">Whereas the introduced applied </w:t>
            </w:r>
            <w:r>
              <w:rPr>
                <w:bCs/>
              </w:rPr>
              <w:t xml:space="preserve">to </w:t>
            </w:r>
            <w:r w:rsidR="00893828">
              <w:rPr>
                <w:bCs/>
              </w:rPr>
              <w:t>a</w:t>
            </w:r>
            <w:r w:rsidR="00486840" w:rsidRPr="00486840">
              <w:rPr>
                <w:bCs/>
              </w:rPr>
              <w:t xml:space="preserve"> physician assistant or nurse practitioner </w:t>
            </w:r>
            <w:r w:rsidRPr="00D77F57">
              <w:rPr>
                <w:bCs/>
              </w:rPr>
              <w:t xml:space="preserve">who </w:t>
            </w:r>
            <w:r w:rsidR="00893828">
              <w:rPr>
                <w:bCs/>
              </w:rPr>
              <w:t xml:space="preserve">joins </w:t>
            </w:r>
            <w:r w:rsidRPr="00D77F57">
              <w:rPr>
                <w:bCs/>
              </w:rPr>
              <w:t>an</w:t>
            </w:r>
            <w:r w:rsidRPr="00D77F57">
              <w:rPr>
                <w:bCs/>
              </w:rPr>
              <w:t xml:space="preserve"> established medical group</w:t>
            </w:r>
            <w:r w:rsidR="00893828">
              <w:rPr>
                <w:bCs/>
              </w:rPr>
              <w:t xml:space="preserve"> </w:t>
            </w:r>
            <w:r w:rsidR="00486840">
              <w:rPr>
                <w:bCs/>
              </w:rPr>
              <w:t xml:space="preserve">that has a </w:t>
            </w:r>
            <w:r w:rsidR="00893828" w:rsidRPr="00893828">
              <w:rPr>
                <w:bCs/>
              </w:rPr>
              <w:t>contract</w:t>
            </w:r>
            <w:r w:rsidR="00893828">
              <w:rPr>
                <w:bCs/>
              </w:rPr>
              <w:t xml:space="preserve"> </w:t>
            </w:r>
            <w:r w:rsidR="00486840">
              <w:rPr>
                <w:bCs/>
              </w:rPr>
              <w:t xml:space="preserve">with a managed care plan, the substitute applies to a </w:t>
            </w:r>
            <w:r w:rsidR="00486840" w:rsidRPr="00486840">
              <w:rPr>
                <w:bCs/>
              </w:rPr>
              <w:t>physician assistant or advanced practice nurse who joins, as an employee, an established medical group that has a contract with a managed care plan that already includes contracted rates for physician assistants or advanced practice nurses employed by the medical group</w:t>
            </w:r>
            <w:r w:rsidR="00893828">
              <w:rPr>
                <w:bCs/>
              </w:rPr>
              <w:t>.</w:t>
            </w:r>
          </w:p>
          <w:p w14:paraId="7301E887" w14:textId="2B427A8E" w:rsidR="00893828" w:rsidRDefault="00893828" w:rsidP="008A7171">
            <w:pPr>
              <w:jc w:val="both"/>
              <w:rPr>
                <w:bCs/>
              </w:rPr>
            </w:pPr>
          </w:p>
          <w:p w14:paraId="306468A3" w14:textId="3FC30F9D" w:rsidR="00893828" w:rsidRDefault="002942C0" w:rsidP="008A7171">
            <w:pPr>
              <w:jc w:val="both"/>
              <w:rPr>
                <w:bCs/>
              </w:rPr>
            </w:pPr>
            <w:r>
              <w:rPr>
                <w:bCs/>
              </w:rPr>
              <w:t xml:space="preserve">While both the introduced and the substitute include as a condition of eligibility for expedited credentialing that an applicant </w:t>
            </w:r>
            <w:r w:rsidRPr="000D75BC">
              <w:rPr>
                <w:bCs/>
              </w:rPr>
              <w:t>agree to c</w:t>
            </w:r>
            <w:r w:rsidRPr="000D75BC">
              <w:rPr>
                <w:bCs/>
              </w:rPr>
              <w:t xml:space="preserve">omply with the terms of the managed care plan's participating provider contract with the </w:t>
            </w:r>
            <w:r>
              <w:rPr>
                <w:bCs/>
              </w:rPr>
              <w:t>applicant's established medical group, t</w:t>
            </w:r>
            <w:r w:rsidRPr="00893828">
              <w:rPr>
                <w:bCs/>
              </w:rPr>
              <w:t xml:space="preserve">he substitute includes </w:t>
            </w:r>
            <w:r>
              <w:rPr>
                <w:bCs/>
              </w:rPr>
              <w:t xml:space="preserve">a provision not included in the </w:t>
            </w:r>
            <w:r w:rsidR="000C2290">
              <w:rPr>
                <w:bCs/>
              </w:rPr>
              <w:t>introduced</w:t>
            </w:r>
            <w:r>
              <w:rPr>
                <w:bCs/>
              </w:rPr>
              <w:t xml:space="preserve"> specifying that such terms include </w:t>
            </w:r>
            <w:r w:rsidRPr="00893828">
              <w:rPr>
                <w:bCs/>
              </w:rPr>
              <w:t>the rates applicable to ot</w:t>
            </w:r>
            <w:r w:rsidRPr="00893828">
              <w:rPr>
                <w:bCs/>
              </w:rPr>
              <w:t>her physician assistants or advanced practice nurses under the contract</w:t>
            </w:r>
            <w:r>
              <w:rPr>
                <w:bCs/>
              </w:rPr>
              <w:t xml:space="preserve">. The substitute includes </w:t>
            </w:r>
            <w:r w:rsidR="000C2290">
              <w:rPr>
                <w:bCs/>
              </w:rPr>
              <w:t xml:space="preserve">as </w:t>
            </w:r>
            <w:r>
              <w:rPr>
                <w:bCs/>
              </w:rPr>
              <w:t xml:space="preserve">an additional eligibility </w:t>
            </w:r>
            <w:r w:rsidR="000C2290">
              <w:rPr>
                <w:bCs/>
              </w:rPr>
              <w:t>requirement that the physician assistant or advanced practice nurse</w:t>
            </w:r>
            <w:r>
              <w:rPr>
                <w:bCs/>
              </w:rPr>
              <w:t xml:space="preserve"> </w:t>
            </w:r>
            <w:r w:rsidRPr="00893828">
              <w:rPr>
                <w:bCs/>
              </w:rPr>
              <w:t>have received express written consent from the physician assis</w:t>
            </w:r>
            <w:r w:rsidRPr="00893828">
              <w:rPr>
                <w:bCs/>
              </w:rPr>
              <w:t>tant's or advanced practice nurse's established medical group</w:t>
            </w:r>
            <w:r w:rsidR="00BA6B29">
              <w:rPr>
                <w:bCs/>
              </w:rPr>
              <w:t xml:space="preserve"> to apply for expedited credentialing</w:t>
            </w:r>
            <w:r w:rsidRPr="00893828">
              <w:rPr>
                <w:bCs/>
              </w:rPr>
              <w:t>, which did not appear in the introduced.</w:t>
            </w:r>
          </w:p>
          <w:p w14:paraId="7A88C43E" w14:textId="64F27615" w:rsidR="0045246F" w:rsidRDefault="0045246F" w:rsidP="008A7171">
            <w:pPr>
              <w:jc w:val="both"/>
              <w:rPr>
                <w:bCs/>
              </w:rPr>
            </w:pPr>
          </w:p>
          <w:p w14:paraId="44A90122" w14:textId="0A2BA7B6" w:rsidR="0045246F" w:rsidRDefault="002942C0" w:rsidP="008A7171">
            <w:pPr>
              <w:jc w:val="both"/>
              <w:rPr>
                <w:bCs/>
              </w:rPr>
            </w:pPr>
            <w:r>
              <w:rPr>
                <w:bCs/>
              </w:rPr>
              <w:t>While both the introduced and the substitute provide for the payment of services provided by an applicable provider</w:t>
            </w:r>
            <w:r>
              <w:rPr>
                <w:bCs/>
              </w:rPr>
              <w:t xml:space="preserve"> during the credentialing process, the versions differ in their approaches. The introduced required the issuer to</w:t>
            </w:r>
            <w:r w:rsidRPr="0045246F">
              <w:rPr>
                <w:bCs/>
              </w:rPr>
              <w:t xml:space="preserve"> treat the applicant as if the applicant is a participating provider in the plan's network when the applicant provides services to the plan's e</w:t>
            </w:r>
            <w:r w:rsidRPr="0045246F">
              <w:rPr>
                <w:bCs/>
              </w:rPr>
              <w:t>nrollees, including</w:t>
            </w:r>
            <w:r>
              <w:rPr>
                <w:bCs/>
              </w:rPr>
              <w:t xml:space="preserve"> </w:t>
            </w:r>
            <w:r w:rsidRPr="0045246F">
              <w:rPr>
                <w:bCs/>
              </w:rPr>
              <w:t>authorizing the applicant to collect copayments from the enrollees</w:t>
            </w:r>
            <w:r>
              <w:rPr>
                <w:bCs/>
              </w:rPr>
              <w:t xml:space="preserve"> and making payments to the applicant. However, the substitute requires the issuer to </w:t>
            </w:r>
            <w:r w:rsidRPr="0045246F">
              <w:rPr>
                <w:bCs/>
              </w:rPr>
              <w:t>treat the applicant as if the applicant is a participating provider in the plan's network when the applicant provides services to the plan's enrollees as an employee of t</w:t>
            </w:r>
            <w:r w:rsidRPr="0045246F">
              <w:rPr>
                <w:bCs/>
              </w:rPr>
              <w:t>he applicant's established medical group, including</w:t>
            </w:r>
            <w:r>
              <w:rPr>
                <w:bCs/>
              </w:rPr>
              <w:t xml:space="preserve"> </w:t>
            </w:r>
            <w:r w:rsidR="0065384B" w:rsidRPr="0065384B">
              <w:rPr>
                <w:bCs/>
              </w:rPr>
              <w:t>authorizing the applicant's medical group to collect copayments from the enrollees for the applicant's services</w:t>
            </w:r>
            <w:r w:rsidR="0065384B">
              <w:rPr>
                <w:bCs/>
              </w:rPr>
              <w:t xml:space="preserve"> and </w:t>
            </w:r>
            <w:r w:rsidR="0065384B" w:rsidRPr="0065384B">
              <w:rPr>
                <w:bCs/>
              </w:rPr>
              <w:t>making payments to the applicant's medical group for the applicant's services</w:t>
            </w:r>
            <w:r w:rsidR="0065384B">
              <w:rPr>
                <w:bCs/>
              </w:rPr>
              <w:t>.</w:t>
            </w:r>
          </w:p>
          <w:p w14:paraId="47CDA318" w14:textId="5403F310" w:rsidR="0065384B" w:rsidRDefault="0065384B" w:rsidP="008A7171">
            <w:pPr>
              <w:jc w:val="both"/>
              <w:rPr>
                <w:bCs/>
              </w:rPr>
            </w:pPr>
          </w:p>
          <w:p w14:paraId="3690994F" w14:textId="6CD1EC12" w:rsidR="0065384B" w:rsidRDefault="002942C0" w:rsidP="008A7171">
            <w:pPr>
              <w:jc w:val="both"/>
              <w:rPr>
                <w:bCs/>
              </w:rPr>
            </w:pPr>
            <w:r>
              <w:rPr>
                <w:bCs/>
              </w:rPr>
              <w:t xml:space="preserve">Whereas the introduced authorized a managed care plan issuer to exclude an applicant </w:t>
            </w:r>
            <w:r w:rsidRPr="0065384B">
              <w:rPr>
                <w:bCs/>
              </w:rPr>
              <w:t>from the plan's directory, website listing, or other listing of participating providers</w:t>
            </w:r>
            <w:r>
              <w:rPr>
                <w:bCs/>
              </w:rPr>
              <w:t xml:space="preserve"> pending the approval of an application for expedited credentialing, the substitute </w:t>
            </w:r>
            <w:r>
              <w:rPr>
                <w:bCs/>
              </w:rPr>
              <w:t>establishes that nothing in the bill may be construed as requiring the issuer to include the applicant in the plan's directory, website listing, or other listing of participating providers.</w:t>
            </w:r>
          </w:p>
          <w:p w14:paraId="4C5A6094" w14:textId="77EA4EF8" w:rsidR="006202CE" w:rsidRDefault="006202CE" w:rsidP="008A7171">
            <w:pPr>
              <w:jc w:val="both"/>
              <w:rPr>
                <w:bCs/>
              </w:rPr>
            </w:pPr>
          </w:p>
          <w:p w14:paraId="06E08A72" w14:textId="7D613065" w:rsidR="00B02F97" w:rsidRDefault="002942C0" w:rsidP="008A7171">
            <w:pPr>
              <w:jc w:val="both"/>
              <w:rPr>
                <w:bCs/>
              </w:rPr>
            </w:pPr>
            <w:r>
              <w:rPr>
                <w:bCs/>
              </w:rPr>
              <w:t xml:space="preserve">While both the introduced and the substitute authorize an issuer </w:t>
            </w:r>
            <w:r>
              <w:rPr>
                <w:bCs/>
              </w:rPr>
              <w:t>to recover</w:t>
            </w:r>
            <w:r w:rsidR="004965DF">
              <w:rPr>
                <w:bCs/>
              </w:rPr>
              <w:t xml:space="preserve">, </w:t>
            </w:r>
            <w:r>
              <w:rPr>
                <w:bCs/>
              </w:rPr>
              <w:t xml:space="preserve">on the determination that an applicant does not meet the issuer's credentialing requirements, </w:t>
            </w:r>
            <w:r w:rsidR="004965DF" w:rsidRPr="004965DF">
              <w:rPr>
                <w:bCs/>
              </w:rPr>
              <w:t>an amount equal to the difference between payments for in-network benefits and out-of-network benefits</w:t>
            </w:r>
            <w:r w:rsidR="004965DF">
              <w:rPr>
                <w:bCs/>
              </w:rPr>
              <w:t>,</w:t>
            </w:r>
            <w:r w:rsidR="004965DF" w:rsidRPr="004965DF">
              <w:rPr>
                <w:bCs/>
              </w:rPr>
              <w:t xml:space="preserve"> </w:t>
            </w:r>
            <w:r>
              <w:rPr>
                <w:bCs/>
              </w:rPr>
              <w:t>the introduced authorized an issuer to recover</w:t>
            </w:r>
            <w:r>
              <w:rPr>
                <w:bCs/>
              </w:rPr>
              <w:t xml:space="preserve"> </w:t>
            </w:r>
            <w:r w:rsidR="004965DF">
              <w:rPr>
                <w:bCs/>
              </w:rPr>
              <w:t>the</w:t>
            </w:r>
            <w:r>
              <w:rPr>
                <w:bCs/>
              </w:rPr>
              <w:t xml:space="preserve"> amounts from the applicant or the applicant's medical group</w:t>
            </w:r>
            <w:r w:rsidR="004965DF">
              <w:rPr>
                <w:bCs/>
              </w:rPr>
              <w:t xml:space="preserve">, whereas the substitute only authorizes an issuer to recover the amounts from the applicant's medical group. The bill versions additionally differ in who is authorized to retain </w:t>
            </w:r>
            <w:r w:rsidR="004965DF" w:rsidRPr="004965DF">
              <w:rPr>
                <w:bCs/>
              </w:rPr>
              <w:t>copayments collected or in the process of being collected as of the date of the issuer's determination</w:t>
            </w:r>
            <w:r w:rsidR="004965DF">
              <w:rPr>
                <w:bCs/>
              </w:rPr>
              <w:t xml:space="preserve"> that the applicant does not meet the issuer's credentialling requirements. The introduced granted this authority to the applicant or the applicant's medical group, whereas the substitute grants this authority only to the applicant's medical group.</w:t>
            </w:r>
          </w:p>
          <w:p w14:paraId="7A04DEE0" w14:textId="56EBD6BB" w:rsidR="00B05FFA" w:rsidRDefault="00B05FFA" w:rsidP="008A7171">
            <w:pPr>
              <w:jc w:val="both"/>
              <w:rPr>
                <w:bCs/>
              </w:rPr>
            </w:pPr>
          </w:p>
          <w:p w14:paraId="30999E73" w14:textId="01CD286A" w:rsidR="00B05FFA" w:rsidRDefault="002942C0" w:rsidP="008A7171">
            <w:pPr>
              <w:jc w:val="both"/>
              <w:rPr>
                <w:bCs/>
              </w:rPr>
            </w:pPr>
            <w:r>
              <w:rPr>
                <w:bCs/>
              </w:rPr>
              <w:t xml:space="preserve">While the introduced prohibited a physician assistant or nurse practitioner and the applicable medical group from </w:t>
            </w:r>
            <w:r w:rsidRPr="00EF6CDF">
              <w:rPr>
                <w:bCs/>
              </w:rPr>
              <w:t>charg</w:t>
            </w:r>
            <w:r>
              <w:rPr>
                <w:bCs/>
              </w:rPr>
              <w:t>ing</w:t>
            </w:r>
            <w:r w:rsidRPr="00EF6CDF">
              <w:rPr>
                <w:bCs/>
              </w:rPr>
              <w:t xml:space="preserve"> the enrollee for any portion of the physician assi</w:t>
            </w:r>
            <w:r w:rsidRPr="00EF6CDF">
              <w:rPr>
                <w:bCs/>
              </w:rPr>
              <w:t>stant's or nurse practitioner's fee that is not paid or reimbursed by the plan</w:t>
            </w:r>
            <w:r>
              <w:rPr>
                <w:bCs/>
              </w:rPr>
              <w:t>, the substitute prohibits only the applicable medical group from charging the enrollee for any portion of the physician assistant's or advance</w:t>
            </w:r>
            <w:r w:rsidR="0040075F">
              <w:rPr>
                <w:bCs/>
              </w:rPr>
              <w:t>d</w:t>
            </w:r>
            <w:r>
              <w:rPr>
                <w:bCs/>
              </w:rPr>
              <w:t xml:space="preserve"> practice nurse's fee that is not </w:t>
            </w:r>
            <w:r>
              <w:rPr>
                <w:bCs/>
              </w:rPr>
              <w:t>paid or reimbursed by the plan.</w:t>
            </w:r>
          </w:p>
          <w:p w14:paraId="37FE5B5C" w14:textId="62F5F943" w:rsidR="00EF6CDF" w:rsidRDefault="00EF6CDF" w:rsidP="008A7171">
            <w:pPr>
              <w:jc w:val="both"/>
              <w:rPr>
                <w:bCs/>
              </w:rPr>
            </w:pPr>
          </w:p>
          <w:p w14:paraId="11686E03" w14:textId="39930957" w:rsidR="00EF6CDF" w:rsidRPr="001475F5" w:rsidRDefault="002942C0" w:rsidP="008A7171">
            <w:pPr>
              <w:jc w:val="both"/>
              <w:rPr>
                <w:bCs/>
              </w:rPr>
            </w:pPr>
            <w:r>
              <w:rPr>
                <w:bCs/>
              </w:rPr>
              <w:t>While both the introduced and the substitute exempt from liability a managed care plan issuer that complies with the bill for damages arising out of or in connection with payments under the bill by the issuer, the introduce</w:t>
            </w:r>
            <w:r>
              <w:rPr>
                <w:bCs/>
              </w:rPr>
              <w:t xml:space="preserve">d </w:t>
            </w:r>
            <w:r w:rsidR="00F345F4">
              <w:rPr>
                <w:bCs/>
              </w:rPr>
              <w:t>applie</w:t>
            </w:r>
            <w:r w:rsidR="0040075F">
              <w:rPr>
                <w:bCs/>
              </w:rPr>
              <w:t>d</w:t>
            </w:r>
            <w:r w:rsidR="00F345F4">
              <w:rPr>
                <w:bCs/>
              </w:rPr>
              <w:t xml:space="preserve"> that provision to </w:t>
            </w:r>
            <w:r w:rsidR="00F345F4" w:rsidRPr="00F345F4">
              <w:rPr>
                <w:bCs/>
              </w:rPr>
              <w:t>the payment by the issuer of a physician assistant or nurse practitioner treated as if the physician assistant or nurse practitioner is a participating provider in the plan's network</w:t>
            </w:r>
            <w:r w:rsidR="00F345F4">
              <w:rPr>
                <w:bCs/>
              </w:rPr>
              <w:t xml:space="preserve">, whereas the substitute applies that provision to </w:t>
            </w:r>
            <w:r w:rsidR="00F345F4" w:rsidRPr="00F345F4">
              <w:rPr>
                <w:bCs/>
              </w:rPr>
              <w:t xml:space="preserve">the payment by the issuer of a physician assistant's or advanced practice nurse's medical group for services provided by the medical group's employed physician assistant or advanced practice nurse treated as if the physician assistant or advanced practice nurse is a participating provider in the plan's network under </w:t>
            </w:r>
            <w:r w:rsidR="00F345F4">
              <w:rPr>
                <w:bCs/>
              </w:rPr>
              <w:t>the bill.</w:t>
            </w:r>
          </w:p>
          <w:p w14:paraId="5BEED0DE" w14:textId="7A7C74ED" w:rsidR="00917F6A" w:rsidRPr="00917F6A" w:rsidRDefault="00917F6A" w:rsidP="008A7171">
            <w:pPr>
              <w:jc w:val="both"/>
              <w:rPr>
                <w:b/>
                <w:u w:val="single"/>
              </w:rPr>
            </w:pPr>
          </w:p>
        </w:tc>
      </w:tr>
    </w:tbl>
    <w:p w14:paraId="42E84AB7" w14:textId="77777777" w:rsidR="008423E4" w:rsidRPr="00BE0E75" w:rsidRDefault="008423E4" w:rsidP="008A7171">
      <w:pPr>
        <w:jc w:val="both"/>
        <w:rPr>
          <w:rFonts w:ascii="Arial" w:hAnsi="Arial"/>
          <w:sz w:val="16"/>
          <w:szCs w:val="16"/>
        </w:rPr>
      </w:pPr>
    </w:p>
    <w:p w14:paraId="648728D8" w14:textId="77777777" w:rsidR="004108C3" w:rsidRPr="008423E4" w:rsidRDefault="004108C3" w:rsidP="008A7171"/>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5091" w14:textId="77777777" w:rsidR="00000000" w:rsidRDefault="002942C0">
      <w:r>
        <w:separator/>
      </w:r>
    </w:p>
  </w:endnote>
  <w:endnote w:type="continuationSeparator" w:id="0">
    <w:p w14:paraId="4D361CC7" w14:textId="77777777" w:rsidR="00000000" w:rsidRDefault="0029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4B66" w14:textId="77777777" w:rsidR="00BC786C" w:rsidRDefault="00BC7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F74C5" w14:paraId="53ED796E" w14:textId="77777777" w:rsidTr="009C1E9A">
      <w:trPr>
        <w:cantSplit/>
      </w:trPr>
      <w:tc>
        <w:tcPr>
          <w:tcW w:w="0" w:type="pct"/>
        </w:tcPr>
        <w:p w14:paraId="606B4127" w14:textId="77777777" w:rsidR="00137D90" w:rsidRDefault="00137D90" w:rsidP="009C1E9A">
          <w:pPr>
            <w:pStyle w:val="Footer"/>
            <w:tabs>
              <w:tab w:val="clear" w:pos="8640"/>
              <w:tab w:val="right" w:pos="9360"/>
            </w:tabs>
          </w:pPr>
        </w:p>
      </w:tc>
      <w:tc>
        <w:tcPr>
          <w:tcW w:w="2395" w:type="pct"/>
        </w:tcPr>
        <w:p w14:paraId="0DAF5BD3" w14:textId="77777777" w:rsidR="00137D90" w:rsidRDefault="00137D90" w:rsidP="009C1E9A">
          <w:pPr>
            <w:pStyle w:val="Footer"/>
            <w:tabs>
              <w:tab w:val="clear" w:pos="8640"/>
              <w:tab w:val="right" w:pos="9360"/>
            </w:tabs>
          </w:pPr>
        </w:p>
        <w:p w14:paraId="1B625B49" w14:textId="77777777" w:rsidR="001A4310" w:rsidRDefault="001A4310" w:rsidP="009C1E9A">
          <w:pPr>
            <w:pStyle w:val="Footer"/>
            <w:tabs>
              <w:tab w:val="clear" w:pos="8640"/>
              <w:tab w:val="right" w:pos="9360"/>
            </w:tabs>
          </w:pPr>
        </w:p>
        <w:p w14:paraId="2754CAC0" w14:textId="77777777" w:rsidR="00137D90" w:rsidRDefault="00137D90" w:rsidP="009C1E9A">
          <w:pPr>
            <w:pStyle w:val="Footer"/>
            <w:tabs>
              <w:tab w:val="clear" w:pos="8640"/>
              <w:tab w:val="right" w:pos="9360"/>
            </w:tabs>
          </w:pPr>
        </w:p>
      </w:tc>
      <w:tc>
        <w:tcPr>
          <w:tcW w:w="2453" w:type="pct"/>
        </w:tcPr>
        <w:p w14:paraId="7AF2E94F" w14:textId="77777777" w:rsidR="00137D90" w:rsidRDefault="00137D90" w:rsidP="009C1E9A">
          <w:pPr>
            <w:pStyle w:val="Footer"/>
            <w:tabs>
              <w:tab w:val="clear" w:pos="8640"/>
              <w:tab w:val="right" w:pos="9360"/>
            </w:tabs>
            <w:jc w:val="right"/>
          </w:pPr>
        </w:p>
      </w:tc>
    </w:tr>
    <w:tr w:rsidR="002F74C5" w14:paraId="764D4483" w14:textId="77777777" w:rsidTr="009C1E9A">
      <w:trPr>
        <w:cantSplit/>
      </w:trPr>
      <w:tc>
        <w:tcPr>
          <w:tcW w:w="0" w:type="pct"/>
        </w:tcPr>
        <w:p w14:paraId="58584302" w14:textId="77777777" w:rsidR="00EC379B" w:rsidRDefault="00EC379B" w:rsidP="009C1E9A">
          <w:pPr>
            <w:pStyle w:val="Footer"/>
            <w:tabs>
              <w:tab w:val="clear" w:pos="8640"/>
              <w:tab w:val="right" w:pos="9360"/>
            </w:tabs>
          </w:pPr>
        </w:p>
      </w:tc>
      <w:tc>
        <w:tcPr>
          <w:tcW w:w="2395" w:type="pct"/>
        </w:tcPr>
        <w:p w14:paraId="4D0F7998" w14:textId="0673892D" w:rsidR="00EC379B" w:rsidRPr="009C1E9A" w:rsidRDefault="002942C0" w:rsidP="009C1E9A">
          <w:pPr>
            <w:pStyle w:val="Footer"/>
            <w:tabs>
              <w:tab w:val="clear" w:pos="8640"/>
              <w:tab w:val="right" w:pos="9360"/>
            </w:tabs>
            <w:rPr>
              <w:rFonts w:ascii="Shruti" w:hAnsi="Shruti"/>
              <w:sz w:val="22"/>
            </w:rPr>
          </w:pPr>
          <w:r>
            <w:rPr>
              <w:rFonts w:ascii="Shruti" w:hAnsi="Shruti"/>
              <w:sz w:val="22"/>
            </w:rPr>
            <w:t>88R 24480-D</w:t>
          </w:r>
        </w:p>
      </w:tc>
      <w:tc>
        <w:tcPr>
          <w:tcW w:w="2453" w:type="pct"/>
        </w:tcPr>
        <w:p w14:paraId="65B89C33" w14:textId="16092A47" w:rsidR="00EC379B" w:rsidRDefault="002942C0" w:rsidP="009C1E9A">
          <w:pPr>
            <w:pStyle w:val="Footer"/>
            <w:tabs>
              <w:tab w:val="clear" w:pos="8640"/>
              <w:tab w:val="right" w:pos="9360"/>
            </w:tabs>
            <w:jc w:val="right"/>
          </w:pPr>
          <w:r>
            <w:fldChar w:fldCharType="begin"/>
          </w:r>
          <w:r>
            <w:instrText xml:space="preserve"> DOCPROPERTY  OTID  \* MERGEFORMAT </w:instrText>
          </w:r>
          <w:r>
            <w:fldChar w:fldCharType="separate"/>
          </w:r>
          <w:r w:rsidR="008A7171">
            <w:t>23.109.1126</w:t>
          </w:r>
          <w:r>
            <w:fldChar w:fldCharType="end"/>
          </w:r>
        </w:p>
      </w:tc>
    </w:tr>
    <w:tr w:rsidR="002F74C5" w14:paraId="6E887C51" w14:textId="77777777" w:rsidTr="009C1E9A">
      <w:trPr>
        <w:cantSplit/>
      </w:trPr>
      <w:tc>
        <w:tcPr>
          <w:tcW w:w="0" w:type="pct"/>
        </w:tcPr>
        <w:p w14:paraId="0D4A5CB0" w14:textId="77777777" w:rsidR="00EC379B" w:rsidRDefault="00EC379B" w:rsidP="009C1E9A">
          <w:pPr>
            <w:pStyle w:val="Footer"/>
            <w:tabs>
              <w:tab w:val="clear" w:pos="4320"/>
              <w:tab w:val="clear" w:pos="8640"/>
              <w:tab w:val="left" w:pos="2865"/>
            </w:tabs>
          </w:pPr>
        </w:p>
      </w:tc>
      <w:tc>
        <w:tcPr>
          <w:tcW w:w="2395" w:type="pct"/>
        </w:tcPr>
        <w:p w14:paraId="78D29297" w14:textId="070DD9A2" w:rsidR="00EC379B" w:rsidRPr="009C1E9A" w:rsidRDefault="002942C0" w:rsidP="009C1E9A">
          <w:pPr>
            <w:pStyle w:val="Footer"/>
            <w:tabs>
              <w:tab w:val="clear" w:pos="4320"/>
              <w:tab w:val="clear" w:pos="8640"/>
              <w:tab w:val="left" w:pos="2865"/>
            </w:tabs>
            <w:rPr>
              <w:rFonts w:ascii="Shruti" w:hAnsi="Shruti"/>
              <w:sz w:val="22"/>
            </w:rPr>
          </w:pPr>
          <w:r>
            <w:rPr>
              <w:rFonts w:ascii="Shruti" w:hAnsi="Shruti"/>
              <w:sz w:val="22"/>
            </w:rPr>
            <w:t>Substitute Document Number: 88R 22856</w:t>
          </w:r>
        </w:p>
      </w:tc>
      <w:tc>
        <w:tcPr>
          <w:tcW w:w="2453" w:type="pct"/>
        </w:tcPr>
        <w:p w14:paraId="414EB613" w14:textId="77777777" w:rsidR="00EC379B" w:rsidRDefault="00EC379B" w:rsidP="006D504F">
          <w:pPr>
            <w:pStyle w:val="Footer"/>
            <w:rPr>
              <w:rStyle w:val="PageNumber"/>
            </w:rPr>
          </w:pPr>
        </w:p>
        <w:p w14:paraId="03ABBD44" w14:textId="77777777" w:rsidR="00EC379B" w:rsidRDefault="00EC379B" w:rsidP="009C1E9A">
          <w:pPr>
            <w:pStyle w:val="Footer"/>
            <w:tabs>
              <w:tab w:val="clear" w:pos="8640"/>
              <w:tab w:val="right" w:pos="9360"/>
            </w:tabs>
            <w:jc w:val="right"/>
          </w:pPr>
        </w:p>
      </w:tc>
    </w:tr>
    <w:tr w:rsidR="002F74C5" w14:paraId="4BFE4FBF" w14:textId="77777777" w:rsidTr="009C1E9A">
      <w:trPr>
        <w:cantSplit/>
        <w:trHeight w:val="323"/>
      </w:trPr>
      <w:tc>
        <w:tcPr>
          <w:tcW w:w="0" w:type="pct"/>
          <w:gridSpan w:val="3"/>
        </w:tcPr>
        <w:p w14:paraId="05162C7C" w14:textId="77777777" w:rsidR="00EC379B" w:rsidRDefault="002942C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EB54AAB" w14:textId="77777777" w:rsidR="00EC379B" w:rsidRDefault="00EC379B" w:rsidP="009C1E9A">
          <w:pPr>
            <w:pStyle w:val="Footer"/>
            <w:tabs>
              <w:tab w:val="clear" w:pos="8640"/>
              <w:tab w:val="right" w:pos="9360"/>
            </w:tabs>
            <w:jc w:val="center"/>
          </w:pPr>
        </w:p>
      </w:tc>
    </w:tr>
  </w:tbl>
  <w:p w14:paraId="7646331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331A" w14:textId="77777777" w:rsidR="00BC786C" w:rsidRDefault="00BC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C45C" w14:textId="77777777" w:rsidR="00000000" w:rsidRDefault="002942C0">
      <w:r>
        <w:separator/>
      </w:r>
    </w:p>
  </w:footnote>
  <w:footnote w:type="continuationSeparator" w:id="0">
    <w:p w14:paraId="6E0AC9CA" w14:textId="77777777" w:rsidR="00000000" w:rsidRDefault="0029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DCC5" w14:textId="77777777" w:rsidR="00BC786C" w:rsidRDefault="00BC7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952" w14:textId="77777777" w:rsidR="00BC786C" w:rsidRDefault="00BC7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5AA2" w14:textId="77777777" w:rsidR="00BC786C" w:rsidRDefault="00BC7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30DD"/>
    <w:multiLevelType w:val="hybridMultilevel"/>
    <w:tmpl w:val="8D30FE72"/>
    <w:lvl w:ilvl="0" w:tplc="3496E9F8">
      <w:start w:val="1"/>
      <w:numFmt w:val="bullet"/>
      <w:lvlText w:val=""/>
      <w:lvlJc w:val="left"/>
      <w:pPr>
        <w:tabs>
          <w:tab w:val="num" w:pos="720"/>
        </w:tabs>
        <w:ind w:left="720" w:hanging="360"/>
      </w:pPr>
      <w:rPr>
        <w:rFonts w:ascii="Symbol" w:hAnsi="Symbol" w:hint="default"/>
      </w:rPr>
    </w:lvl>
    <w:lvl w:ilvl="1" w:tplc="6CC8C92C" w:tentative="1">
      <w:start w:val="1"/>
      <w:numFmt w:val="bullet"/>
      <w:lvlText w:val="o"/>
      <w:lvlJc w:val="left"/>
      <w:pPr>
        <w:ind w:left="1440" w:hanging="360"/>
      </w:pPr>
      <w:rPr>
        <w:rFonts w:ascii="Courier New" w:hAnsi="Courier New" w:cs="Courier New" w:hint="default"/>
      </w:rPr>
    </w:lvl>
    <w:lvl w:ilvl="2" w:tplc="344E18E0" w:tentative="1">
      <w:start w:val="1"/>
      <w:numFmt w:val="bullet"/>
      <w:lvlText w:val=""/>
      <w:lvlJc w:val="left"/>
      <w:pPr>
        <w:ind w:left="2160" w:hanging="360"/>
      </w:pPr>
      <w:rPr>
        <w:rFonts w:ascii="Wingdings" w:hAnsi="Wingdings" w:hint="default"/>
      </w:rPr>
    </w:lvl>
    <w:lvl w:ilvl="3" w:tplc="A10CC1CA" w:tentative="1">
      <w:start w:val="1"/>
      <w:numFmt w:val="bullet"/>
      <w:lvlText w:val=""/>
      <w:lvlJc w:val="left"/>
      <w:pPr>
        <w:ind w:left="2880" w:hanging="360"/>
      </w:pPr>
      <w:rPr>
        <w:rFonts w:ascii="Symbol" w:hAnsi="Symbol" w:hint="default"/>
      </w:rPr>
    </w:lvl>
    <w:lvl w:ilvl="4" w:tplc="F03A98B8" w:tentative="1">
      <w:start w:val="1"/>
      <w:numFmt w:val="bullet"/>
      <w:lvlText w:val="o"/>
      <w:lvlJc w:val="left"/>
      <w:pPr>
        <w:ind w:left="3600" w:hanging="360"/>
      </w:pPr>
      <w:rPr>
        <w:rFonts w:ascii="Courier New" w:hAnsi="Courier New" w:cs="Courier New" w:hint="default"/>
      </w:rPr>
    </w:lvl>
    <w:lvl w:ilvl="5" w:tplc="6DE4569A" w:tentative="1">
      <w:start w:val="1"/>
      <w:numFmt w:val="bullet"/>
      <w:lvlText w:val=""/>
      <w:lvlJc w:val="left"/>
      <w:pPr>
        <w:ind w:left="4320" w:hanging="360"/>
      </w:pPr>
      <w:rPr>
        <w:rFonts w:ascii="Wingdings" w:hAnsi="Wingdings" w:hint="default"/>
      </w:rPr>
    </w:lvl>
    <w:lvl w:ilvl="6" w:tplc="B0321D56" w:tentative="1">
      <w:start w:val="1"/>
      <w:numFmt w:val="bullet"/>
      <w:lvlText w:val=""/>
      <w:lvlJc w:val="left"/>
      <w:pPr>
        <w:ind w:left="5040" w:hanging="360"/>
      </w:pPr>
      <w:rPr>
        <w:rFonts w:ascii="Symbol" w:hAnsi="Symbol" w:hint="default"/>
      </w:rPr>
    </w:lvl>
    <w:lvl w:ilvl="7" w:tplc="DBD4D2A0" w:tentative="1">
      <w:start w:val="1"/>
      <w:numFmt w:val="bullet"/>
      <w:lvlText w:val="o"/>
      <w:lvlJc w:val="left"/>
      <w:pPr>
        <w:ind w:left="5760" w:hanging="360"/>
      </w:pPr>
      <w:rPr>
        <w:rFonts w:ascii="Courier New" w:hAnsi="Courier New" w:cs="Courier New" w:hint="default"/>
      </w:rPr>
    </w:lvl>
    <w:lvl w:ilvl="8" w:tplc="F5984B16" w:tentative="1">
      <w:start w:val="1"/>
      <w:numFmt w:val="bullet"/>
      <w:lvlText w:val=""/>
      <w:lvlJc w:val="left"/>
      <w:pPr>
        <w:ind w:left="6480" w:hanging="360"/>
      </w:pPr>
      <w:rPr>
        <w:rFonts w:ascii="Wingdings" w:hAnsi="Wingdings" w:hint="default"/>
      </w:rPr>
    </w:lvl>
  </w:abstractNum>
  <w:abstractNum w:abstractNumId="1" w15:restartNumberingAfterBreak="0">
    <w:nsid w:val="55DA6644"/>
    <w:multiLevelType w:val="hybridMultilevel"/>
    <w:tmpl w:val="37949174"/>
    <w:lvl w:ilvl="0" w:tplc="A15AA570">
      <w:start w:val="1"/>
      <w:numFmt w:val="bullet"/>
      <w:lvlText w:val=""/>
      <w:lvlJc w:val="left"/>
      <w:pPr>
        <w:tabs>
          <w:tab w:val="num" w:pos="720"/>
        </w:tabs>
        <w:ind w:left="720" w:hanging="360"/>
      </w:pPr>
      <w:rPr>
        <w:rFonts w:ascii="Symbol" w:hAnsi="Symbol" w:hint="default"/>
      </w:rPr>
    </w:lvl>
    <w:lvl w:ilvl="1" w:tplc="6B283440" w:tentative="1">
      <w:start w:val="1"/>
      <w:numFmt w:val="bullet"/>
      <w:lvlText w:val="o"/>
      <w:lvlJc w:val="left"/>
      <w:pPr>
        <w:ind w:left="1440" w:hanging="360"/>
      </w:pPr>
      <w:rPr>
        <w:rFonts w:ascii="Courier New" w:hAnsi="Courier New" w:cs="Courier New" w:hint="default"/>
      </w:rPr>
    </w:lvl>
    <w:lvl w:ilvl="2" w:tplc="D2E06DC8" w:tentative="1">
      <w:start w:val="1"/>
      <w:numFmt w:val="bullet"/>
      <w:lvlText w:val=""/>
      <w:lvlJc w:val="left"/>
      <w:pPr>
        <w:ind w:left="2160" w:hanging="360"/>
      </w:pPr>
      <w:rPr>
        <w:rFonts w:ascii="Wingdings" w:hAnsi="Wingdings" w:hint="default"/>
      </w:rPr>
    </w:lvl>
    <w:lvl w:ilvl="3" w:tplc="04662BDA" w:tentative="1">
      <w:start w:val="1"/>
      <w:numFmt w:val="bullet"/>
      <w:lvlText w:val=""/>
      <w:lvlJc w:val="left"/>
      <w:pPr>
        <w:ind w:left="2880" w:hanging="360"/>
      </w:pPr>
      <w:rPr>
        <w:rFonts w:ascii="Symbol" w:hAnsi="Symbol" w:hint="default"/>
      </w:rPr>
    </w:lvl>
    <w:lvl w:ilvl="4" w:tplc="9FE23582" w:tentative="1">
      <w:start w:val="1"/>
      <w:numFmt w:val="bullet"/>
      <w:lvlText w:val="o"/>
      <w:lvlJc w:val="left"/>
      <w:pPr>
        <w:ind w:left="3600" w:hanging="360"/>
      </w:pPr>
      <w:rPr>
        <w:rFonts w:ascii="Courier New" w:hAnsi="Courier New" w:cs="Courier New" w:hint="default"/>
      </w:rPr>
    </w:lvl>
    <w:lvl w:ilvl="5" w:tplc="0FA6C028" w:tentative="1">
      <w:start w:val="1"/>
      <w:numFmt w:val="bullet"/>
      <w:lvlText w:val=""/>
      <w:lvlJc w:val="left"/>
      <w:pPr>
        <w:ind w:left="4320" w:hanging="360"/>
      </w:pPr>
      <w:rPr>
        <w:rFonts w:ascii="Wingdings" w:hAnsi="Wingdings" w:hint="default"/>
      </w:rPr>
    </w:lvl>
    <w:lvl w:ilvl="6" w:tplc="6F0CA89C" w:tentative="1">
      <w:start w:val="1"/>
      <w:numFmt w:val="bullet"/>
      <w:lvlText w:val=""/>
      <w:lvlJc w:val="left"/>
      <w:pPr>
        <w:ind w:left="5040" w:hanging="360"/>
      </w:pPr>
      <w:rPr>
        <w:rFonts w:ascii="Symbol" w:hAnsi="Symbol" w:hint="default"/>
      </w:rPr>
    </w:lvl>
    <w:lvl w:ilvl="7" w:tplc="D80E2B62" w:tentative="1">
      <w:start w:val="1"/>
      <w:numFmt w:val="bullet"/>
      <w:lvlText w:val="o"/>
      <w:lvlJc w:val="left"/>
      <w:pPr>
        <w:ind w:left="5760" w:hanging="360"/>
      </w:pPr>
      <w:rPr>
        <w:rFonts w:ascii="Courier New" w:hAnsi="Courier New" w:cs="Courier New" w:hint="default"/>
      </w:rPr>
    </w:lvl>
    <w:lvl w:ilvl="8" w:tplc="BD2E0CE6" w:tentative="1">
      <w:start w:val="1"/>
      <w:numFmt w:val="bullet"/>
      <w:lvlText w:val=""/>
      <w:lvlJc w:val="left"/>
      <w:pPr>
        <w:ind w:left="6480" w:hanging="360"/>
      </w:pPr>
      <w:rPr>
        <w:rFonts w:ascii="Wingdings" w:hAnsi="Wingdings" w:hint="default"/>
      </w:rPr>
    </w:lvl>
  </w:abstractNum>
  <w:abstractNum w:abstractNumId="2" w15:restartNumberingAfterBreak="0">
    <w:nsid w:val="5F5E7115"/>
    <w:multiLevelType w:val="hybridMultilevel"/>
    <w:tmpl w:val="24342226"/>
    <w:lvl w:ilvl="0" w:tplc="3EB63CA6">
      <w:start w:val="1"/>
      <w:numFmt w:val="bullet"/>
      <w:lvlText w:val=""/>
      <w:lvlJc w:val="left"/>
      <w:pPr>
        <w:tabs>
          <w:tab w:val="num" w:pos="720"/>
        </w:tabs>
        <w:ind w:left="720" w:hanging="360"/>
      </w:pPr>
      <w:rPr>
        <w:rFonts w:ascii="Symbol" w:hAnsi="Symbol" w:hint="default"/>
      </w:rPr>
    </w:lvl>
    <w:lvl w:ilvl="1" w:tplc="0A7A6C8E" w:tentative="1">
      <w:start w:val="1"/>
      <w:numFmt w:val="bullet"/>
      <w:lvlText w:val="o"/>
      <w:lvlJc w:val="left"/>
      <w:pPr>
        <w:ind w:left="1440" w:hanging="360"/>
      </w:pPr>
      <w:rPr>
        <w:rFonts w:ascii="Courier New" w:hAnsi="Courier New" w:cs="Courier New" w:hint="default"/>
      </w:rPr>
    </w:lvl>
    <w:lvl w:ilvl="2" w:tplc="FE5A91C0" w:tentative="1">
      <w:start w:val="1"/>
      <w:numFmt w:val="bullet"/>
      <w:lvlText w:val=""/>
      <w:lvlJc w:val="left"/>
      <w:pPr>
        <w:ind w:left="2160" w:hanging="360"/>
      </w:pPr>
      <w:rPr>
        <w:rFonts w:ascii="Wingdings" w:hAnsi="Wingdings" w:hint="default"/>
      </w:rPr>
    </w:lvl>
    <w:lvl w:ilvl="3" w:tplc="E43EB3CE" w:tentative="1">
      <w:start w:val="1"/>
      <w:numFmt w:val="bullet"/>
      <w:lvlText w:val=""/>
      <w:lvlJc w:val="left"/>
      <w:pPr>
        <w:ind w:left="2880" w:hanging="360"/>
      </w:pPr>
      <w:rPr>
        <w:rFonts w:ascii="Symbol" w:hAnsi="Symbol" w:hint="default"/>
      </w:rPr>
    </w:lvl>
    <w:lvl w:ilvl="4" w:tplc="8B9429E8" w:tentative="1">
      <w:start w:val="1"/>
      <w:numFmt w:val="bullet"/>
      <w:lvlText w:val="o"/>
      <w:lvlJc w:val="left"/>
      <w:pPr>
        <w:ind w:left="3600" w:hanging="360"/>
      </w:pPr>
      <w:rPr>
        <w:rFonts w:ascii="Courier New" w:hAnsi="Courier New" w:cs="Courier New" w:hint="default"/>
      </w:rPr>
    </w:lvl>
    <w:lvl w:ilvl="5" w:tplc="2F4CD05C" w:tentative="1">
      <w:start w:val="1"/>
      <w:numFmt w:val="bullet"/>
      <w:lvlText w:val=""/>
      <w:lvlJc w:val="left"/>
      <w:pPr>
        <w:ind w:left="4320" w:hanging="360"/>
      </w:pPr>
      <w:rPr>
        <w:rFonts w:ascii="Wingdings" w:hAnsi="Wingdings" w:hint="default"/>
      </w:rPr>
    </w:lvl>
    <w:lvl w:ilvl="6" w:tplc="D1181F40" w:tentative="1">
      <w:start w:val="1"/>
      <w:numFmt w:val="bullet"/>
      <w:lvlText w:val=""/>
      <w:lvlJc w:val="left"/>
      <w:pPr>
        <w:ind w:left="5040" w:hanging="360"/>
      </w:pPr>
      <w:rPr>
        <w:rFonts w:ascii="Symbol" w:hAnsi="Symbol" w:hint="default"/>
      </w:rPr>
    </w:lvl>
    <w:lvl w:ilvl="7" w:tplc="648A6662" w:tentative="1">
      <w:start w:val="1"/>
      <w:numFmt w:val="bullet"/>
      <w:lvlText w:val="o"/>
      <w:lvlJc w:val="left"/>
      <w:pPr>
        <w:ind w:left="5760" w:hanging="360"/>
      </w:pPr>
      <w:rPr>
        <w:rFonts w:ascii="Courier New" w:hAnsi="Courier New" w:cs="Courier New" w:hint="default"/>
      </w:rPr>
    </w:lvl>
    <w:lvl w:ilvl="8" w:tplc="405A30E0"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7B"/>
    <w:rsid w:val="00000A70"/>
    <w:rsid w:val="000032B8"/>
    <w:rsid w:val="00003550"/>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48C"/>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22F7"/>
    <w:rsid w:val="00090E6B"/>
    <w:rsid w:val="00091B2C"/>
    <w:rsid w:val="00092ABC"/>
    <w:rsid w:val="00097AAF"/>
    <w:rsid w:val="00097D13"/>
    <w:rsid w:val="000A3609"/>
    <w:rsid w:val="000A4893"/>
    <w:rsid w:val="000A54E0"/>
    <w:rsid w:val="000A72C4"/>
    <w:rsid w:val="000B0F30"/>
    <w:rsid w:val="000B1486"/>
    <w:rsid w:val="000B3E61"/>
    <w:rsid w:val="000B54AF"/>
    <w:rsid w:val="000B6090"/>
    <w:rsid w:val="000B6FEE"/>
    <w:rsid w:val="000C12C4"/>
    <w:rsid w:val="000C2290"/>
    <w:rsid w:val="000C49DA"/>
    <w:rsid w:val="000C4B3D"/>
    <w:rsid w:val="000C6DC1"/>
    <w:rsid w:val="000C6E20"/>
    <w:rsid w:val="000C76D7"/>
    <w:rsid w:val="000C7F1D"/>
    <w:rsid w:val="000D2EBA"/>
    <w:rsid w:val="000D32A1"/>
    <w:rsid w:val="000D3725"/>
    <w:rsid w:val="000D46E5"/>
    <w:rsid w:val="000D75BC"/>
    <w:rsid w:val="000D769C"/>
    <w:rsid w:val="000E1976"/>
    <w:rsid w:val="000E20F1"/>
    <w:rsid w:val="000E5B20"/>
    <w:rsid w:val="000E6EDC"/>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5004"/>
    <w:rsid w:val="00127893"/>
    <w:rsid w:val="001312BB"/>
    <w:rsid w:val="00137D90"/>
    <w:rsid w:val="00141FB6"/>
    <w:rsid w:val="00142F8E"/>
    <w:rsid w:val="00143C8B"/>
    <w:rsid w:val="00147530"/>
    <w:rsid w:val="001475F5"/>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1ED8"/>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1C8"/>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42C0"/>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4C5"/>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5125"/>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6BA"/>
    <w:rsid w:val="003D726D"/>
    <w:rsid w:val="003E0875"/>
    <w:rsid w:val="003E0BB8"/>
    <w:rsid w:val="003E6CB0"/>
    <w:rsid w:val="003F1F5E"/>
    <w:rsid w:val="003F286A"/>
    <w:rsid w:val="003F77F8"/>
    <w:rsid w:val="0040075F"/>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46F"/>
    <w:rsid w:val="00452FC3"/>
    <w:rsid w:val="00454715"/>
    <w:rsid w:val="00455936"/>
    <w:rsid w:val="00455ACE"/>
    <w:rsid w:val="00461B69"/>
    <w:rsid w:val="00462B3D"/>
    <w:rsid w:val="00474927"/>
    <w:rsid w:val="00475913"/>
    <w:rsid w:val="00480080"/>
    <w:rsid w:val="004824A7"/>
    <w:rsid w:val="00483AF0"/>
    <w:rsid w:val="00484167"/>
    <w:rsid w:val="00486840"/>
    <w:rsid w:val="00492211"/>
    <w:rsid w:val="00492325"/>
    <w:rsid w:val="00492A6D"/>
    <w:rsid w:val="00494303"/>
    <w:rsid w:val="004965DF"/>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15A"/>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8BE"/>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2CE"/>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84B"/>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14B3"/>
    <w:rsid w:val="006D3005"/>
    <w:rsid w:val="006D504F"/>
    <w:rsid w:val="006E0CAC"/>
    <w:rsid w:val="006E1CFB"/>
    <w:rsid w:val="006E1F94"/>
    <w:rsid w:val="006E26C1"/>
    <w:rsid w:val="006E30A8"/>
    <w:rsid w:val="006E45B0"/>
    <w:rsid w:val="006E5692"/>
    <w:rsid w:val="006F365D"/>
    <w:rsid w:val="006F4BB0"/>
    <w:rsid w:val="006F7EE9"/>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18E"/>
    <w:rsid w:val="00724252"/>
    <w:rsid w:val="00727E7A"/>
    <w:rsid w:val="0073163C"/>
    <w:rsid w:val="00731DE3"/>
    <w:rsid w:val="00735B9D"/>
    <w:rsid w:val="007365A5"/>
    <w:rsid w:val="00736FB0"/>
    <w:rsid w:val="007404BC"/>
    <w:rsid w:val="00740D13"/>
    <w:rsid w:val="00740F5F"/>
    <w:rsid w:val="00742794"/>
    <w:rsid w:val="00742E8C"/>
    <w:rsid w:val="00743C4C"/>
    <w:rsid w:val="007445B7"/>
    <w:rsid w:val="00744920"/>
    <w:rsid w:val="007509BE"/>
    <w:rsid w:val="0075287B"/>
    <w:rsid w:val="00755C7B"/>
    <w:rsid w:val="00764786"/>
    <w:rsid w:val="00766E12"/>
    <w:rsid w:val="0077098E"/>
    <w:rsid w:val="00771287"/>
    <w:rsid w:val="0077149E"/>
    <w:rsid w:val="00773052"/>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3A7B"/>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0788B"/>
    <w:rsid w:val="00812BE3"/>
    <w:rsid w:val="00814516"/>
    <w:rsid w:val="00815C9D"/>
    <w:rsid w:val="00815EDE"/>
    <w:rsid w:val="008170E2"/>
    <w:rsid w:val="00823E4C"/>
    <w:rsid w:val="00827749"/>
    <w:rsid w:val="00827B7E"/>
    <w:rsid w:val="00830EEB"/>
    <w:rsid w:val="008347A9"/>
    <w:rsid w:val="00835628"/>
    <w:rsid w:val="00835E90"/>
    <w:rsid w:val="0084176D"/>
    <w:rsid w:val="008423E4"/>
    <w:rsid w:val="00842900"/>
    <w:rsid w:val="0084397D"/>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828"/>
    <w:rsid w:val="008947A7"/>
    <w:rsid w:val="00897E80"/>
    <w:rsid w:val="008A04FA"/>
    <w:rsid w:val="008A3188"/>
    <w:rsid w:val="008A3FDF"/>
    <w:rsid w:val="008A6418"/>
    <w:rsid w:val="008A7171"/>
    <w:rsid w:val="008B05D8"/>
    <w:rsid w:val="008B0B3D"/>
    <w:rsid w:val="008B2B1A"/>
    <w:rsid w:val="008B3428"/>
    <w:rsid w:val="008B4A91"/>
    <w:rsid w:val="008B7785"/>
    <w:rsid w:val="008B79F2"/>
    <w:rsid w:val="008C0809"/>
    <w:rsid w:val="008C132C"/>
    <w:rsid w:val="008C2F4F"/>
    <w:rsid w:val="008C3FD0"/>
    <w:rsid w:val="008D27A5"/>
    <w:rsid w:val="008D2AAB"/>
    <w:rsid w:val="008D309C"/>
    <w:rsid w:val="008D58F9"/>
    <w:rsid w:val="008D5F5C"/>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347F"/>
    <w:rsid w:val="00915568"/>
    <w:rsid w:val="00917E0C"/>
    <w:rsid w:val="00917F6A"/>
    <w:rsid w:val="00920711"/>
    <w:rsid w:val="00921A1E"/>
    <w:rsid w:val="00924EA9"/>
    <w:rsid w:val="00925CE1"/>
    <w:rsid w:val="00925F5C"/>
    <w:rsid w:val="00930897"/>
    <w:rsid w:val="00930B8B"/>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3F04"/>
    <w:rsid w:val="0096482F"/>
    <w:rsid w:val="00964E3A"/>
    <w:rsid w:val="00967126"/>
    <w:rsid w:val="00970EAE"/>
    <w:rsid w:val="0097140A"/>
    <w:rsid w:val="00971627"/>
    <w:rsid w:val="00972797"/>
    <w:rsid w:val="0097279D"/>
    <w:rsid w:val="00976837"/>
    <w:rsid w:val="00980311"/>
    <w:rsid w:val="0098170E"/>
    <w:rsid w:val="0098285C"/>
    <w:rsid w:val="00982A78"/>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20C"/>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13E3"/>
    <w:rsid w:val="00A12330"/>
    <w:rsid w:val="00A1259F"/>
    <w:rsid w:val="00A1446F"/>
    <w:rsid w:val="00A151B5"/>
    <w:rsid w:val="00A220FF"/>
    <w:rsid w:val="00A227E0"/>
    <w:rsid w:val="00A232E4"/>
    <w:rsid w:val="00A245CA"/>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2318"/>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96D"/>
    <w:rsid w:val="00AE2263"/>
    <w:rsid w:val="00AE248E"/>
    <w:rsid w:val="00AE2D12"/>
    <w:rsid w:val="00AE2F06"/>
    <w:rsid w:val="00AE4F1C"/>
    <w:rsid w:val="00AF1433"/>
    <w:rsid w:val="00AF48B4"/>
    <w:rsid w:val="00AF4923"/>
    <w:rsid w:val="00AF6C9B"/>
    <w:rsid w:val="00AF7C74"/>
    <w:rsid w:val="00B000AF"/>
    <w:rsid w:val="00B02F97"/>
    <w:rsid w:val="00B04E79"/>
    <w:rsid w:val="00B05FFA"/>
    <w:rsid w:val="00B07488"/>
    <w:rsid w:val="00B075A2"/>
    <w:rsid w:val="00B10DD2"/>
    <w:rsid w:val="00B115DC"/>
    <w:rsid w:val="00B11952"/>
    <w:rsid w:val="00B149AC"/>
    <w:rsid w:val="00B14BD2"/>
    <w:rsid w:val="00B14F59"/>
    <w:rsid w:val="00B1557F"/>
    <w:rsid w:val="00B1668D"/>
    <w:rsid w:val="00B17981"/>
    <w:rsid w:val="00B233BB"/>
    <w:rsid w:val="00B25612"/>
    <w:rsid w:val="00B26437"/>
    <w:rsid w:val="00B2678E"/>
    <w:rsid w:val="00B30647"/>
    <w:rsid w:val="00B31F0E"/>
    <w:rsid w:val="00B34F25"/>
    <w:rsid w:val="00B35CC3"/>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5C24"/>
    <w:rsid w:val="00B96E87"/>
    <w:rsid w:val="00BA146A"/>
    <w:rsid w:val="00BA32EE"/>
    <w:rsid w:val="00BA6B29"/>
    <w:rsid w:val="00BB5B36"/>
    <w:rsid w:val="00BC027B"/>
    <w:rsid w:val="00BC30A6"/>
    <w:rsid w:val="00BC3ED3"/>
    <w:rsid w:val="00BC3EF6"/>
    <w:rsid w:val="00BC4E34"/>
    <w:rsid w:val="00BC51D0"/>
    <w:rsid w:val="00BC5633"/>
    <w:rsid w:val="00BC58E1"/>
    <w:rsid w:val="00BC59CA"/>
    <w:rsid w:val="00BC6462"/>
    <w:rsid w:val="00BC786C"/>
    <w:rsid w:val="00BD0A32"/>
    <w:rsid w:val="00BD4E55"/>
    <w:rsid w:val="00BD513B"/>
    <w:rsid w:val="00BD5E52"/>
    <w:rsid w:val="00BE00CD"/>
    <w:rsid w:val="00BE0E75"/>
    <w:rsid w:val="00BE1789"/>
    <w:rsid w:val="00BE3634"/>
    <w:rsid w:val="00BE3E30"/>
    <w:rsid w:val="00BE500C"/>
    <w:rsid w:val="00BE5274"/>
    <w:rsid w:val="00BE71CD"/>
    <w:rsid w:val="00BE7748"/>
    <w:rsid w:val="00BE7BDA"/>
    <w:rsid w:val="00BF0548"/>
    <w:rsid w:val="00BF350B"/>
    <w:rsid w:val="00BF4949"/>
    <w:rsid w:val="00BF4D7C"/>
    <w:rsid w:val="00BF5085"/>
    <w:rsid w:val="00C013F4"/>
    <w:rsid w:val="00C040AB"/>
    <w:rsid w:val="00C0499B"/>
    <w:rsid w:val="00C05406"/>
    <w:rsid w:val="00C05719"/>
    <w:rsid w:val="00C05CF0"/>
    <w:rsid w:val="00C119AC"/>
    <w:rsid w:val="00C14EE6"/>
    <w:rsid w:val="00C151DA"/>
    <w:rsid w:val="00C152A1"/>
    <w:rsid w:val="00C15724"/>
    <w:rsid w:val="00C16915"/>
    <w:rsid w:val="00C16CCB"/>
    <w:rsid w:val="00C2100E"/>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930"/>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447"/>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77F57"/>
    <w:rsid w:val="00D811E8"/>
    <w:rsid w:val="00D81A44"/>
    <w:rsid w:val="00D83072"/>
    <w:rsid w:val="00D83ABC"/>
    <w:rsid w:val="00D84870"/>
    <w:rsid w:val="00D91B92"/>
    <w:rsid w:val="00D926B3"/>
    <w:rsid w:val="00D92F63"/>
    <w:rsid w:val="00D947B6"/>
    <w:rsid w:val="00D94A53"/>
    <w:rsid w:val="00D97E00"/>
    <w:rsid w:val="00DA00BC"/>
    <w:rsid w:val="00DA0595"/>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09B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9B5"/>
    <w:rsid w:val="00E667F3"/>
    <w:rsid w:val="00E67794"/>
    <w:rsid w:val="00E70CC6"/>
    <w:rsid w:val="00E71254"/>
    <w:rsid w:val="00E73CCD"/>
    <w:rsid w:val="00E76453"/>
    <w:rsid w:val="00E77353"/>
    <w:rsid w:val="00E775AE"/>
    <w:rsid w:val="00E8272C"/>
    <w:rsid w:val="00E827C7"/>
    <w:rsid w:val="00E85DBD"/>
    <w:rsid w:val="00E87A99"/>
    <w:rsid w:val="00E90702"/>
    <w:rsid w:val="00E90E49"/>
    <w:rsid w:val="00E9241E"/>
    <w:rsid w:val="00E93DEF"/>
    <w:rsid w:val="00E947B1"/>
    <w:rsid w:val="00E96852"/>
    <w:rsid w:val="00EA16AC"/>
    <w:rsid w:val="00EA385A"/>
    <w:rsid w:val="00EA3931"/>
    <w:rsid w:val="00EA658E"/>
    <w:rsid w:val="00EA7A88"/>
    <w:rsid w:val="00EB27F2"/>
    <w:rsid w:val="00EB3928"/>
    <w:rsid w:val="00EB5373"/>
    <w:rsid w:val="00EC02A2"/>
    <w:rsid w:val="00EC29DF"/>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6CDF"/>
    <w:rsid w:val="00EF7E26"/>
    <w:rsid w:val="00F01DFA"/>
    <w:rsid w:val="00F02096"/>
    <w:rsid w:val="00F02457"/>
    <w:rsid w:val="00F036C3"/>
    <w:rsid w:val="00F0417E"/>
    <w:rsid w:val="00F05397"/>
    <w:rsid w:val="00F0638C"/>
    <w:rsid w:val="00F079F9"/>
    <w:rsid w:val="00F11E04"/>
    <w:rsid w:val="00F12B24"/>
    <w:rsid w:val="00F12BC7"/>
    <w:rsid w:val="00F15223"/>
    <w:rsid w:val="00F15CAA"/>
    <w:rsid w:val="00F164B4"/>
    <w:rsid w:val="00F176E4"/>
    <w:rsid w:val="00F20E5F"/>
    <w:rsid w:val="00F25C26"/>
    <w:rsid w:val="00F25CC2"/>
    <w:rsid w:val="00F27573"/>
    <w:rsid w:val="00F307B6"/>
    <w:rsid w:val="00F30EB8"/>
    <w:rsid w:val="00F31876"/>
    <w:rsid w:val="00F31C67"/>
    <w:rsid w:val="00F345F4"/>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05B"/>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3EB5"/>
    <w:rsid w:val="00FA59FD"/>
    <w:rsid w:val="00FA5D8C"/>
    <w:rsid w:val="00FA6403"/>
    <w:rsid w:val="00FB16CD"/>
    <w:rsid w:val="00FB73AE"/>
    <w:rsid w:val="00FC5388"/>
    <w:rsid w:val="00FC6869"/>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C8F3CB-2191-4A7C-A055-BD703B37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C15724"/>
    <w:pPr>
      <w:ind w:left="720"/>
      <w:contextualSpacing/>
    </w:pPr>
  </w:style>
  <w:style w:type="character" w:styleId="CommentReference">
    <w:name w:val="annotation reference"/>
    <w:basedOn w:val="DefaultParagraphFont"/>
    <w:semiHidden/>
    <w:unhideWhenUsed/>
    <w:rsid w:val="00982A78"/>
    <w:rPr>
      <w:sz w:val="16"/>
      <w:szCs w:val="16"/>
    </w:rPr>
  </w:style>
  <w:style w:type="paragraph" w:styleId="CommentText">
    <w:name w:val="annotation text"/>
    <w:basedOn w:val="Normal"/>
    <w:link w:val="CommentTextChar"/>
    <w:semiHidden/>
    <w:unhideWhenUsed/>
    <w:rsid w:val="00982A78"/>
    <w:rPr>
      <w:sz w:val="20"/>
      <w:szCs w:val="20"/>
    </w:rPr>
  </w:style>
  <w:style w:type="character" w:customStyle="1" w:styleId="CommentTextChar">
    <w:name w:val="Comment Text Char"/>
    <w:basedOn w:val="DefaultParagraphFont"/>
    <w:link w:val="CommentText"/>
    <w:semiHidden/>
    <w:rsid w:val="00982A78"/>
  </w:style>
  <w:style w:type="paragraph" w:styleId="CommentSubject">
    <w:name w:val="annotation subject"/>
    <w:basedOn w:val="CommentText"/>
    <w:next w:val="CommentText"/>
    <w:link w:val="CommentSubjectChar"/>
    <w:semiHidden/>
    <w:unhideWhenUsed/>
    <w:rsid w:val="00982A78"/>
    <w:rPr>
      <w:b/>
      <w:bCs/>
    </w:rPr>
  </w:style>
  <w:style w:type="character" w:customStyle="1" w:styleId="CommentSubjectChar">
    <w:name w:val="Comment Subject Char"/>
    <w:basedOn w:val="CommentTextChar"/>
    <w:link w:val="CommentSubject"/>
    <w:semiHidden/>
    <w:rsid w:val="00982A78"/>
    <w:rPr>
      <w:b/>
      <w:bCs/>
    </w:rPr>
  </w:style>
  <w:style w:type="paragraph" w:styleId="Revision">
    <w:name w:val="Revision"/>
    <w:hidden/>
    <w:uiPriority w:val="99"/>
    <w:semiHidden/>
    <w:rsid w:val="003951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Words>
  <Characters>10267</Characters>
  <Application>Microsoft Office Word</Application>
  <DocSecurity>4</DocSecurity>
  <Lines>178</Lines>
  <Paragraphs>36</Paragraphs>
  <ScaleCrop>false</ScaleCrop>
  <HeadingPairs>
    <vt:vector size="2" baseType="variant">
      <vt:variant>
        <vt:lpstr>Title</vt:lpstr>
      </vt:variant>
      <vt:variant>
        <vt:i4>1</vt:i4>
      </vt:variant>
    </vt:vector>
  </HeadingPairs>
  <TitlesOfParts>
    <vt:vector size="1" baseType="lpstr">
      <vt:lpstr>BA - HB04300 (Committee Report (Substituted))</vt:lpstr>
    </vt:vector>
  </TitlesOfParts>
  <Company>State of Texas</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24480</dc:subject>
  <dc:creator>State of Texas</dc:creator>
  <dc:description>HB 4300 by Guillen-(H)Insurance (Substitute Document Number: 88R 22856)</dc:description>
  <cp:lastModifiedBy>Matthew Lee</cp:lastModifiedBy>
  <cp:revision>2</cp:revision>
  <cp:lastPrinted>2003-11-26T17:21:00Z</cp:lastPrinted>
  <dcterms:created xsi:type="dcterms:W3CDTF">2023-04-20T23:01:00Z</dcterms:created>
  <dcterms:modified xsi:type="dcterms:W3CDTF">2023-04-20T23:01:00Z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23.109.1126</vt:lpwstr>
  </property>
</Properties>
</file>