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22E16" w14:paraId="312EB8BF" w14:textId="77777777" w:rsidTr="00345119">
        <w:tc>
          <w:tcPr>
            <w:tcW w:w="9576" w:type="dxa"/>
            <w:noWrap/>
          </w:tcPr>
          <w:p w14:paraId="1D4D1516" w14:textId="77777777" w:rsidR="008423E4" w:rsidRPr="0022177D" w:rsidRDefault="00C0683D" w:rsidP="00D0540A">
            <w:pPr>
              <w:pStyle w:val="Heading1"/>
            </w:pPr>
            <w:r w:rsidRPr="00631897">
              <w:t>BILL ANALYSIS</w:t>
            </w:r>
          </w:p>
        </w:tc>
      </w:tr>
    </w:tbl>
    <w:p w14:paraId="6872435D" w14:textId="77777777" w:rsidR="008423E4" w:rsidRPr="0022177D" w:rsidRDefault="008423E4" w:rsidP="00D0540A">
      <w:pPr>
        <w:jc w:val="center"/>
      </w:pPr>
    </w:p>
    <w:p w14:paraId="028F27AC" w14:textId="77777777" w:rsidR="008423E4" w:rsidRPr="00B31F0E" w:rsidRDefault="008423E4" w:rsidP="00D0540A"/>
    <w:p w14:paraId="48F19FA4" w14:textId="77777777" w:rsidR="008423E4" w:rsidRPr="00742794" w:rsidRDefault="008423E4" w:rsidP="00D0540A">
      <w:pPr>
        <w:tabs>
          <w:tab w:val="right" w:pos="9360"/>
        </w:tabs>
      </w:pPr>
    </w:p>
    <w:tbl>
      <w:tblPr>
        <w:tblW w:w="0" w:type="auto"/>
        <w:tblLayout w:type="fixed"/>
        <w:tblLook w:val="01E0" w:firstRow="1" w:lastRow="1" w:firstColumn="1" w:lastColumn="1" w:noHBand="0" w:noVBand="0"/>
      </w:tblPr>
      <w:tblGrid>
        <w:gridCol w:w="9576"/>
      </w:tblGrid>
      <w:tr w:rsidR="00F22E16" w14:paraId="4E5B68CA" w14:textId="77777777" w:rsidTr="00345119">
        <w:tc>
          <w:tcPr>
            <w:tcW w:w="9576" w:type="dxa"/>
          </w:tcPr>
          <w:p w14:paraId="78862C38" w14:textId="3ED6C9CC" w:rsidR="008423E4" w:rsidRPr="00861995" w:rsidRDefault="00C0683D" w:rsidP="00D0540A">
            <w:pPr>
              <w:jc w:val="right"/>
            </w:pPr>
            <w:r>
              <w:t>C.S.H.B. 4316</w:t>
            </w:r>
          </w:p>
        </w:tc>
      </w:tr>
      <w:tr w:rsidR="00F22E16" w14:paraId="789316A3" w14:textId="77777777" w:rsidTr="00345119">
        <w:tc>
          <w:tcPr>
            <w:tcW w:w="9576" w:type="dxa"/>
          </w:tcPr>
          <w:p w14:paraId="23CFDE62" w14:textId="2392F256" w:rsidR="008423E4" w:rsidRPr="00861995" w:rsidRDefault="00C0683D" w:rsidP="00D0540A">
            <w:pPr>
              <w:jc w:val="right"/>
            </w:pPr>
            <w:r>
              <w:t xml:space="preserve">By: </w:t>
            </w:r>
            <w:r w:rsidR="00407681">
              <w:t>Goldman</w:t>
            </w:r>
          </w:p>
        </w:tc>
      </w:tr>
      <w:tr w:rsidR="00F22E16" w14:paraId="30AF4FDD" w14:textId="77777777" w:rsidTr="00345119">
        <w:tc>
          <w:tcPr>
            <w:tcW w:w="9576" w:type="dxa"/>
          </w:tcPr>
          <w:p w14:paraId="3DD85E88" w14:textId="2F48FA31" w:rsidR="008423E4" w:rsidRPr="00861995" w:rsidRDefault="00C0683D" w:rsidP="00D0540A">
            <w:pPr>
              <w:jc w:val="right"/>
            </w:pPr>
            <w:r>
              <w:t>Business &amp; Industry</w:t>
            </w:r>
          </w:p>
        </w:tc>
      </w:tr>
      <w:tr w:rsidR="00F22E16" w14:paraId="638473B4" w14:textId="77777777" w:rsidTr="00345119">
        <w:tc>
          <w:tcPr>
            <w:tcW w:w="9576" w:type="dxa"/>
          </w:tcPr>
          <w:p w14:paraId="50979D90" w14:textId="45CE91B1" w:rsidR="008423E4" w:rsidRDefault="00C0683D" w:rsidP="00D0540A">
            <w:pPr>
              <w:jc w:val="right"/>
            </w:pPr>
            <w:r>
              <w:t>Committee Report (Substituted)</w:t>
            </w:r>
          </w:p>
        </w:tc>
      </w:tr>
    </w:tbl>
    <w:p w14:paraId="6B57AAC9" w14:textId="77777777" w:rsidR="008423E4" w:rsidRDefault="008423E4" w:rsidP="00D0540A">
      <w:pPr>
        <w:tabs>
          <w:tab w:val="right" w:pos="9360"/>
        </w:tabs>
      </w:pPr>
    </w:p>
    <w:p w14:paraId="1D3FDE87" w14:textId="77777777" w:rsidR="008423E4" w:rsidRDefault="008423E4" w:rsidP="00D0540A"/>
    <w:p w14:paraId="36489E1C" w14:textId="77777777" w:rsidR="008423E4" w:rsidRDefault="008423E4" w:rsidP="00D0540A"/>
    <w:tbl>
      <w:tblPr>
        <w:tblW w:w="0" w:type="auto"/>
        <w:tblCellMar>
          <w:left w:w="115" w:type="dxa"/>
          <w:right w:w="115" w:type="dxa"/>
        </w:tblCellMar>
        <w:tblLook w:val="01E0" w:firstRow="1" w:lastRow="1" w:firstColumn="1" w:lastColumn="1" w:noHBand="0" w:noVBand="0"/>
      </w:tblPr>
      <w:tblGrid>
        <w:gridCol w:w="9360"/>
      </w:tblGrid>
      <w:tr w:rsidR="00F22E16" w14:paraId="56269428" w14:textId="77777777" w:rsidTr="00345119">
        <w:tc>
          <w:tcPr>
            <w:tcW w:w="9576" w:type="dxa"/>
          </w:tcPr>
          <w:p w14:paraId="1AE67370" w14:textId="77777777" w:rsidR="008423E4" w:rsidRPr="00A8133F" w:rsidRDefault="00C0683D" w:rsidP="00D0540A">
            <w:pPr>
              <w:rPr>
                <w:b/>
              </w:rPr>
            </w:pPr>
            <w:r w:rsidRPr="009C1E9A">
              <w:rPr>
                <w:b/>
                <w:u w:val="single"/>
              </w:rPr>
              <w:t>BACKGROUND AND PURPOSE</w:t>
            </w:r>
            <w:r>
              <w:rPr>
                <w:b/>
              </w:rPr>
              <w:t xml:space="preserve"> </w:t>
            </w:r>
          </w:p>
          <w:p w14:paraId="15E74C4F" w14:textId="77777777" w:rsidR="008423E4" w:rsidRDefault="008423E4" w:rsidP="00D0540A"/>
          <w:p w14:paraId="65672426" w14:textId="57157D63" w:rsidR="008423E4" w:rsidRDefault="00C0683D" w:rsidP="00D0540A">
            <w:pPr>
              <w:pStyle w:val="Header"/>
              <w:tabs>
                <w:tab w:val="clear" w:pos="4320"/>
                <w:tab w:val="clear" w:pos="8640"/>
              </w:tabs>
              <w:jc w:val="both"/>
            </w:pPr>
            <w:r w:rsidRPr="00BD77D6">
              <w:t>The</w:t>
            </w:r>
            <w:r>
              <w:t>re are calls to update</w:t>
            </w:r>
            <w:r w:rsidRPr="00BD77D6">
              <w:t xml:space="preserve"> and clarif</w:t>
            </w:r>
            <w:r>
              <w:t>y</w:t>
            </w:r>
            <w:r w:rsidRPr="00BD77D6">
              <w:t xml:space="preserve"> </w:t>
            </w:r>
            <w:r>
              <w:t xml:space="preserve">certain provisions relating to </w:t>
            </w:r>
            <w:r w:rsidRPr="00BD77D6">
              <w:t xml:space="preserve">the transfer of the </w:t>
            </w:r>
            <w:r w:rsidR="00A55269">
              <w:t>r</w:t>
            </w:r>
            <w:r w:rsidRPr="00BD77D6">
              <w:t xml:space="preserve">esidential </w:t>
            </w:r>
            <w:r w:rsidR="00A55269">
              <w:t>s</w:t>
            </w:r>
            <w:r w:rsidRPr="00BD77D6">
              <w:t xml:space="preserve">ervice </w:t>
            </w:r>
            <w:r w:rsidR="00A55269">
              <w:t>c</w:t>
            </w:r>
            <w:r w:rsidRPr="00BD77D6">
              <w:t xml:space="preserve">ontract </w:t>
            </w:r>
            <w:r w:rsidR="00A55269">
              <w:t>p</w:t>
            </w:r>
            <w:r w:rsidRPr="00BD77D6">
              <w:t>rogram from the Texas Real Estate Commission to the</w:t>
            </w:r>
            <w:r w:rsidR="004A53C0">
              <w:t xml:space="preserve"> Texas Department of Licensing and Regulation</w:t>
            </w:r>
            <w:r w:rsidRPr="00BD77D6">
              <w:t xml:space="preserve"> </w:t>
            </w:r>
            <w:r w:rsidR="004A53C0">
              <w:t>(</w:t>
            </w:r>
            <w:r w:rsidRPr="00BD77D6">
              <w:t>TDLR</w:t>
            </w:r>
            <w:r w:rsidR="004A53C0">
              <w:t>)</w:t>
            </w:r>
            <w:r w:rsidRPr="00BD77D6">
              <w:t xml:space="preserve"> </w:t>
            </w:r>
            <w:r w:rsidR="00A55269">
              <w:t>s</w:t>
            </w:r>
            <w:r w:rsidRPr="00BD77D6">
              <w:t xml:space="preserve">ervice </w:t>
            </w:r>
            <w:r w:rsidR="00A55269">
              <w:t>c</w:t>
            </w:r>
            <w:r w:rsidRPr="00BD77D6">
              <w:t xml:space="preserve">ontract </w:t>
            </w:r>
            <w:r w:rsidR="00A55269">
              <w:t>p</w:t>
            </w:r>
            <w:r w:rsidRPr="00BD77D6">
              <w:t xml:space="preserve">rovider </w:t>
            </w:r>
            <w:r w:rsidR="00A55269">
              <w:t>p</w:t>
            </w:r>
            <w:r w:rsidRPr="00BD77D6">
              <w:t>rogram.</w:t>
            </w:r>
            <w:r>
              <w:t xml:space="preserve"> </w:t>
            </w:r>
            <w:r w:rsidR="004A53C0">
              <w:t>C.S.H.B. 4316 seeks to</w:t>
            </w:r>
            <w:r w:rsidRPr="00BD77D6">
              <w:t xml:space="preserve"> clarif</w:t>
            </w:r>
            <w:r w:rsidR="004A53C0">
              <w:t>y</w:t>
            </w:r>
            <w:r w:rsidRPr="00BD77D6">
              <w:t xml:space="preserve"> that information that was confidential at the previous agency is also confidential at </w:t>
            </w:r>
            <w:r w:rsidRPr="00BD77D6">
              <w:t>TDLR</w:t>
            </w:r>
            <w:r w:rsidR="004A53C0">
              <w:t xml:space="preserve"> and to revise calculations for a</w:t>
            </w:r>
            <w:r w:rsidR="004F11D9">
              <w:t>mounts required to be maintained in a</w:t>
            </w:r>
            <w:r w:rsidR="004A53C0">
              <w:t xml:space="preserve"> service contract provider's</w:t>
            </w:r>
            <w:r w:rsidRPr="00BD77D6">
              <w:t xml:space="preserve"> funded reserve</w:t>
            </w:r>
            <w:r w:rsidR="004A53C0">
              <w:t xml:space="preserve"> account and funded reserves</w:t>
            </w:r>
            <w:r w:rsidRPr="00BD77D6">
              <w:t>.</w:t>
            </w:r>
          </w:p>
          <w:p w14:paraId="40E2C183" w14:textId="77777777" w:rsidR="008423E4" w:rsidRPr="00E26B13" w:rsidRDefault="008423E4" w:rsidP="00D0540A">
            <w:pPr>
              <w:rPr>
                <w:b/>
              </w:rPr>
            </w:pPr>
          </w:p>
        </w:tc>
      </w:tr>
      <w:tr w:rsidR="00F22E16" w14:paraId="6106F52C" w14:textId="77777777" w:rsidTr="00345119">
        <w:tc>
          <w:tcPr>
            <w:tcW w:w="9576" w:type="dxa"/>
          </w:tcPr>
          <w:p w14:paraId="210EAD02" w14:textId="77777777" w:rsidR="0017725B" w:rsidRDefault="00C0683D" w:rsidP="00D0540A">
            <w:pPr>
              <w:rPr>
                <w:b/>
                <w:u w:val="single"/>
              </w:rPr>
            </w:pPr>
            <w:r>
              <w:rPr>
                <w:b/>
                <w:u w:val="single"/>
              </w:rPr>
              <w:t>CRIMINAL JUSTICE IMPACT</w:t>
            </w:r>
          </w:p>
          <w:p w14:paraId="4B0FDD79" w14:textId="77777777" w:rsidR="0017725B" w:rsidRDefault="0017725B" w:rsidP="00D0540A">
            <w:pPr>
              <w:rPr>
                <w:b/>
                <w:u w:val="single"/>
              </w:rPr>
            </w:pPr>
          </w:p>
          <w:p w14:paraId="13EAE218" w14:textId="34F0655F" w:rsidR="00AA5E1B" w:rsidRPr="00AA5E1B" w:rsidRDefault="00C0683D" w:rsidP="00D0540A">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181B0E79" w14:textId="77777777" w:rsidR="0017725B" w:rsidRPr="0017725B" w:rsidRDefault="0017725B" w:rsidP="00D0540A">
            <w:pPr>
              <w:rPr>
                <w:b/>
                <w:u w:val="single"/>
              </w:rPr>
            </w:pPr>
          </w:p>
        </w:tc>
      </w:tr>
      <w:tr w:rsidR="00F22E16" w14:paraId="3E0F2858" w14:textId="77777777" w:rsidTr="00345119">
        <w:tc>
          <w:tcPr>
            <w:tcW w:w="9576" w:type="dxa"/>
          </w:tcPr>
          <w:p w14:paraId="62F8822F" w14:textId="77777777" w:rsidR="008423E4" w:rsidRPr="00A8133F" w:rsidRDefault="00C0683D" w:rsidP="00D0540A">
            <w:pPr>
              <w:rPr>
                <w:b/>
              </w:rPr>
            </w:pPr>
            <w:r w:rsidRPr="009C1E9A">
              <w:rPr>
                <w:b/>
                <w:u w:val="single"/>
              </w:rPr>
              <w:t>RULEMAKING AUTHORITY</w:t>
            </w:r>
            <w:r>
              <w:rPr>
                <w:b/>
              </w:rPr>
              <w:t xml:space="preserve"> </w:t>
            </w:r>
          </w:p>
          <w:p w14:paraId="72A71FCF" w14:textId="77777777" w:rsidR="008423E4" w:rsidRDefault="008423E4" w:rsidP="00D0540A"/>
          <w:p w14:paraId="1DA4D859" w14:textId="580C9A75" w:rsidR="00AA5E1B" w:rsidRDefault="00C0683D" w:rsidP="00D0540A">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0AC18B71" w14:textId="77777777" w:rsidR="008423E4" w:rsidRPr="00E21FDC" w:rsidRDefault="008423E4" w:rsidP="00D0540A">
            <w:pPr>
              <w:rPr>
                <w:b/>
              </w:rPr>
            </w:pPr>
          </w:p>
        </w:tc>
      </w:tr>
      <w:tr w:rsidR="00F22E16" w14:paraId="3B18EB79" w14:textId="77777777" w:rsidTr="00345119">
        <w:tc>
          <w:tcPr>
            <w:tcW w:w="9576" w:type="dxa"/>
          </w:tcPr>
          <w:p w14:paraId="668B9DF2" w14:textId="77777777" w:rsidR="008423E4" w:rsidRPr="00A8133F" w:rsidRDefault="00C0683D" w:rsidP="00D0540A">
            <w:pPr>
              <w:rPr>
                <w:b/>
              </w:rPr>
            </w:pPr>
            <w:r w:rsidRPr="009C1E9A">
              <w:rPr>
                <w:b/>
                <w:u w:val="single"/>
              </w:rPr>
              <w:t>ANALYSIS</w:t>
            </w:r>
            <w:r>
              <w:rPr>
                <w:b/>
              </w:rPr>
              <w:t xml:space="preserve"> </w:t>
            </w:r>
          </w:p>
          <w:p w14:paraId="15372EEC" w14:textId="77777777" w:rsidR="008423E4" w:rsidRDefault="008423E4" w:rsidP="00D0540A"/>
          <w:p w14:paraId="2B1941C1" w14:textId="3F71BC29" w:rsidR="0051446D" w:rsidRDefault="00C0683D" w:rsidP="00D0540A">
            <w:pPr>
              <w:pStyle w:val="Header"/>
              <w:tabs>
                <w:tab w:val="clear" w:pos="4320"/>
                <w:tab w:val="clear" w:pos="8640"/>
              </w:tabs>
              <w:jc w:val="both"/>
            </w:pPr>
            <w:r w:rsidRPr="00BA21EC">
              <w:t>C.S.</w:t>
            </w:r>
            <w:r w:rsidR="00AA5E1B">
              <w:t xml:space="preserve">H.B. 4316 amends the </w:t>
            </w:r>
            <w:r w:rsidR="00AA5E1B" w:rsidRPr="00AA5E1B">
              <w:t>Occupations Code</w:t>
            </w:r>
            <w:r w:rsidR="00AA5E1B">
              <w:t xml:space="preserve"> to </w:t>
            </w:r>
            <w:r w:rsidR="00280CFF">
              <w:t>make</w:t>
            </w:r>
            <w:r>
              <w:t xml:space="preserve"> the following</w:t>
            </w:r>
            <w:r w:rsidR="0062078D">
              <w:t xml:space="preserve"> </w:t>
            </w:r>
            <w:r w:rsidR="00AA5E1B">
              <w:t xml:space="preserve">information submitted to or maintained by </w:t>
            </w:r>
            <w:r w:rsidR="00280CFF">
              <w:t xml:space="preserve">the </w:t>
            </w:r>
            <w:r w:rsidR="00280CFF" w:rsidRPr="00280CFF">
              <w:t>Texas Department of Licensing and Regulation (TDLR)</w:t>
            </w:r>
            <w:r w:rsidR="0062078D">
              <w:t xml:space="preserve"> under the Service Contract Regulatory Act confidential and not subject to disclosure under </w:t>
            </w:r>
            <w:r w:rsidR="0062078D" w:rsidRPr="0062078D">
              <w:t>state public information law</w:t>
            </w:r>
            <w:r>
              <w:t>:</w:t>
            </w:r>
          </w:p>
          <w:p w14:paraId="2436A195" w14:textId="78F187C5" w:rsidR="00024540" w:rsidRDefault="00C0683D" w:rsidP="00D0540A">
            <w:pPr>
              <w:pStyle w:val="Header"/>
              <w:numPr>
                <w:ilvl w:val="0"/>
                <w:numId w:val="1"/>
              </w:numPr>
              <w:tabs>
                <w:tab w:val="clear" w:pos="4320"/>
                <w:tab w:val="clear" w:pos="8640"/>
              </w:tabs>
              <w:jc w:val="both"/>
            </w:pPr>
            <w:r>
              <w:t xml:space="preserve">the </w:t>
            </w:r>
            <w:r w:rsidRPr="0062078D">
              <w:t>financial condition</w:t>
            </w:r>
            <w:r>
              <w:t xml:space="preserve"> </w:t>
            </w:r>
            <w:r w:rsidR="00740261">
              <w:t>of</w:t>
            </w:r>
            <w:r w:rsidR="0062078D">
              <w:t xml:space="preserve"> a</w:t>
            </w:r>
            <w:r w:rsidR="00740261">
              <w:t>n</w:t>
            </w:r>
            <w:r w:rsidR="0062078D">
              <w:t xml:space="preserve"> </w:t>
            </w:r>
            <w:r w:rsidR="0062078D" w:rsidRPr="0062078D">
              <w:t>applicant</w:t>
            </w:r>
            <w:r w:rsidR="00740261">
              <w:t xml:space="preserve"> for a service contract provider or admin</w:t>
            </w:r>
            <w:r>
              <w:t>istrator license</w:t>
            </w:r>
            <w:r w:rsidR="0062078D" w:rsidRPr="0062078D">
              <w:t xml:space="preserve"> or a seller, provider, or administrator</w:t>
            </w:r>
            <w:r>
              <w:t xml:space="preserve"> of a service contract;</w:t>
            </w:r>
            <w:r w:rsidR="0062078D">
              <w:t xml:space="preserve"> </w:t>
            </w:r>
          </w:p>
          <w:p w14:paraId="010FDDB1" w14:textId="64F28E4B" w:rsidR="009C36CD" w:rsidRDefault="00C0683D" w:rsidP="00D0540A">
            <w:pPr>
              <w:pStyle w:val="Header"/>
              <w:numPr>
                <w:ilvl w:val="0"/>
                <w:numId w:val="1"/>
              </w:numPr>
              <w:tabs>
                <w:tab w:val="clear" w:pos="4320"/>
                <w:tab w:val="clear" w:pos="8640"/>
              </w:tabs>
              <w:jc w:val="both"/>
            </w:pPr>
            <w:r w:rsidRPr="0062078D">
              <w:t>the identity or number of service contract holders</w:t>
            </w:r>
            <w:r w:rsidR="00301818">
              <w:t>; or</w:t>
            </w:r>
          </w:p>
          <w:p w14:paraId="16CD5F1E" w14:textId="0C2FA9EA" w:rsidR="00301818" w:rsidRDefault="00C0683D" w:rsidP="00D0540A">
            <w:pPr>
              <w:pStyle w:val="Header"/>
              <w:numPr>
                <w:ilvl w:val="0"/>
                <w:numId w:val="1"/>
              </w:numPr>
              <w:tabs>
                <w:tab w:val="clear" w:pos="4320"/>
                <w:tab w:val="clear" w:pos="8640"/>
              </w:tabs>
              <w:jc w:val="both"/>
            </w:pPr>
            <w:r w:rsidRPr="00301818">
              <w:t xml:space="preserve">documents that are claimed, in a manner determined by </w:t>
            </w:r>
            <w:r w:rsidR="007C026C">
              <w:t>TDLR</w:t>
            </w:r>
            <w:r w:rsidRPr="00301818">
              <w:t xml:space="preserve">, proprietary or confidential </w:t>
            </w:r>
            <w:r w:rsidRPr="00301818">
              <w:t>for competitive purposes.</w:t>
            </w:r>
          </w:p>
          <w:p w14:paraId="7F217C84" w14:textId="77777777" w:rsidR="00F50A18" w:rsidRDefault="00C0683D" w:rsidP="00D0540A">
            <w:pPr>
              <w:pStyle w:val="Header"/>
              <w:tabs>
                <w:tab w:val="clear" w:pos="4320"/>
                <w:tab w:val="clear" w:pos="8640"/>
              </w:tabs>
              <w:jc w:val="both"/>
            </w:pPr>
            <w:r>
              <w:t xml:space="preserve">TDLR may withhold the information without requesting a decision from the attorney general.  </w:t>
            </w:r>
          </w:p>
          <w:p w14:paraId="482C9D0D" w14:textId="77777777" w:rsidR="00F50A18" w:rsidRDefault="00F50A18" w:rsidP="00D0540A">
            <w:pPr>
              <w:pStyle w:val="Header"/>
              <w:tabs>
                <w:tab w:val="clear" w:pos="4320"/>
                <w:tab w:val="clear" w:pos="8640"/>
              </w:tabs>
              <w:jc w:val="both"/>
            </w:pPr>
          </w:p>
          <w:p w14:paraId="63418D4D" w14:textId="60E782C4" w:rsidR="00F50A18" w:rsidRDefault="00C0683D" w:rsidP="00D0540A">
            <w:pPr>
              <w:pStyle w:val="Header"/>
              <w:tabs>
                <w:tab w:val="clear" w:pos="4320"/>
                <w:tab w:val="clear" w:pos="8640"/>
              </w:tabs>
              <w:jc w:val="both"/>
            </w:pPr>
            <w:r w:rsidRPr="00BA21EC">
              <w:t>C.S.</w:t>
            </w:r>
            <w:r>
              <w:t xml:space="preserve">H.B. 4316 establishes that any information designated as </w:t>
            </w:r>
            <w:r w:rsidRPr="002D2AD4">
              <w:t xml:space="preserve">confidential for competitive purposes under the former </w:t>
            </w:r>
            <w:r w:rsidRPr="002D2AD4">
              <w:t>Residential Service Company Act</w:t>
            </w:r>
            <w:r>
              <w:t xml:space="preserve"> </w:t>
            </w:r>
            <w:r w:rsidRPr="002D2AD4">
              <w:t>by an applicant</w:t>
            </w:r>
            <w:r>
              <w:t xml:space="preserve"> </w:t>
            </w:r>
            <w:r w:rsidRPr="00686F9D">
              <w:t>for a service contract provider or administrator</w:t>
            </w:r>
            <w:r>
              <w:t xml:space="preserve"> license</w:t>
            </w:r>
            <w:r w:rsidRPr="002D2AD4">
              <w:t>,</w:t>
            </w:r>
            <w:r>
              <w:t xml:space="preserve"> or a</w:t>
            </w:r>
            <w:r w:rsidRPr="002D2AD4">
              <w:t xml:space="preserve"> seller, provider, or administrator </w:t>
            </w:r>
            <w:r>
              <w:t xml:space="preserve">of a service contract </w:t>
            </w:r>
            <w:r w:rsidRPr="002D2AD4">
              <w:t>before th</w:t>
            </w:r>
            <w:r>
              <w:t>is bill's</w:t>
            </w:r>
            <w:r w:rsidRPr="002D2AD4">
              <w:t xml:space="preserve"> effective date</w:t>
            </w:r>
            <w:r>
              <w:t xml:space="preserve"> </w:t>
            </w:r>
            <w:r w:rsidRPr="002D2AD4">
              <w:t>is confidential and not subject to disclosure under st</w:t>
            </w:r>
            <w:r w:rsidRPr="002D2AD4">
              <w:t>ate public information law</w:t>
            </w:r>
            <w:r>
              <w:t xml:space="preserve"> and TDLR may withhold the information </w:t>
            </w:r>
            <w:r w:rsidRPr="002D2AD4">
              <w:t>without requesting a decision from the attorney general</w:t>
            </w:r>
            <w:r>
              <w:t xml:space="preserve">. </w:t>
            </w:r>
          </w:p>
          <w:p w14:paraId="4395959C" w14:textId="5C9950A5" w:rsidR="00923AFA" w:rsidRDefault="00923AFA" w:rsidP="00D0540A">
            <w:pPr>
              <w:pStyle w:val="Header"/>
              <w:tabs>
                <w:tab w:val="clear" w:pos="4320"/>
                <w:tab w:val="clear" w:pos="8640"/>
              </w:tabs>
              <w:jc w:val="both"/>
            </w:pPr>
          </w:p>
          <w:p w14:paraId="00B7B505" w14:textId="4508EF55" w:rsidR="00923AFA" w:rsidRDefault="00C0683D" w:rsidP="00D0540A">
            <w:pPr>
              <w:pStyle w:val="Header"/>
              <w:tabs>
                <w:tab w:val="clear" w:pos="4320"/>
                <w:tab w:val="clear" w:pos="8640"/>
              </w:tabs>
              <w:jc w:val="both"/>
            </w:pPr>
            <w:r w:rsidRPr="00BA21EC">
              <w:t>C.S.</w:t>
            </w:r>
            <w:r>
              <w:t xml:space="preserve">H.B. 4316 changes the amount in </w:t>
            </w:r>
            <w:r w:rsidR="000F2B76">
              <w:t>a funded</w:t>
            </w:r>
            <w:r>
              <w:t xml:space="preserve"> reserve account </w:t>
            </w:r>
            <w:r w:rsidR="00C90691">
              <w:t xml:space="preserve">a </w:t>
            </w:r>
            <w:r w:rsidRPr="00923AFA">
              <w:t>provider</w:t>
            </w:r>
            <w:r w:rsidR="000F2B76">
              <w:t xml:space="preserve"> must maintain to ensure the provider's</w:t>
            </w:r>
            <w:r w:rsidRPr="00923AFA">
              <w:t xml:space="preserve"> obligations </w:t>
            </w:r>
            <w:r w:rsidR="000F2B76">
              <w:t>to</w:t>
            </w:r>
            <w:r w:rsidRPr="00923AFA">
              <w:t xml:space="preserve"> its se</w:t>
            </w:r>
            <w:r w:rsidRPr="00923AFA">
              <w:t>rvice contract</w:t>
            </w:r>
            <w:r w:rsidR="000F2B76">
              <w:t xml:space="preserve"> holders</w:t>
            </w:r>
            <w:r>
              <w:t xml:space="preserve"> from an </w:t>
            </w:r>
            <w:r w:rsidRPr="00923AFA">
              <w:t>amount</w:t>
            </w:r>
            <w:r w:rsidR="00DF2C84">
              <w:t xml:space="preserve"> equal to</w:t>
            </w:r>
            <w:r w:rsidRPr="00923AFA">
              <w:t xml:space="preserve"> not less than 40 percent </w:t>
            </w:r>
            <w:r w:rsidR="00204A8F">
              <w:t>of</w:t>
            </w:r>
            <w:r w:rsidR="002B1C67" w:rsidRPr="00923AFA">
              <w:t xml:space="preserve"> </w:t>
            </w:r>
            <w:r w:rsidRPr="00923AFA">
              <w:t>the gross consideration the provider</w:t>
            </w:r>
            <w:r w:rsidR="0030472E">
              <w:t xml:space="preserve"> </w:t>
            </w:r>
            <w:r w:rsidRPr="00923AFA">
              <w:t xml:space="preserve">received from consumers from the sale of all service contracts issued and outstanding in </w:t>
            </w:r>
            <w:r w:rsidR="00C90691">
              <w:t>Texas</w:t>
            </w:r>
            <w:r w:rsidR="0030472E">
              <w:t xml:space="preserve"> </w:t>
            </w:r>
            <w:r w:rsidRPr="00923AFA">
              <w:t>minus any claims paid</w:t>
            </w:r>
            <w:r w:rsidR="000F2B76">
              <w:t>,</w:t>
            </w:r>
            <w:r w:rsidR="00C90691">
              <w:t xml:space="preserve"> to </w:t>
            </w:r>
            <w:r w:rsidR="00C90691" w:rsidRPr="00C90691">
              <w:t>an amount</w:t>
            </w:r>
            <w:r w:rsidR="00DF2C84">
              <w:t xml:space="preserve"> </w:t>
            </w:r>
            <w:r w:rsidR="0030472E" w:rsidRPr="0030472E">
              <w:t xml:space="preserve">computed by subtracting the amount of any claims paid from the product of </w:t>
            </w:r>
            <w:r w:rsidR="00C90691" w:rsidRPr="00C90691">
              <w:t xml:space="preserve"> 40 percent </w:t>
            </w:r>
            <w:r w:rsidR="00E47CC3">
              <w:t>and</w:t>
            </w:r>
            <w:r w:rsidR="00C90691" w:rsidRPr="00C90691">
              <w:t xml:space="preserve"> </w:t>
            </w:r>
            <w:r w:rsidR="007D1B40">
              <w:t>such</w:t>
            </w:r>
            <w:r w:rsidR="00C90691" w:rsidRPr="00C90691">
              <w:t xml:space="preserve"> gross consideration.</w:t>
            </w:r>
            <w:r w:rsidR="00E47CC3">
              <w:t xml:space="preserve"> </w:t>
            </w:r>
          </w:p>
          <w:p w14:paraId="711E21CD" w14:textId="2C03AB69" w:rsidR="00C90691" w:rsidRDefault="00C90691" w:rsidP="00D0540A">
            <w:pPr>
              <w:pStyle w:val="Header"/>
              <w:tabs>
                <w:tab w:val="clear" w:pos="4320"/>
                <w:tab w:val="clear" w:pos="8640"/>
              </w:tabs>
              <w:jc w:val="both"/>
            </w:pPr>
          </w:p>
          <w:p w14:paraId="32F9182C" w14:textId="03C2F91B" w:rsidR="00254622" w:rsidRDefault="00C0683D" w:rsidP="00D0540A">
            <w:pPr>
              <w:pStyle w:val="Header"/>
              <w:tabs>
                <w:tab w:val="clear" w:pos="4320"/>
                <w:tab w:val="clear" w:pos="8640"/>
              </w:tabs>
              <w:jc w:val="both"/>
            </w:pPr>
            <w:r w:rsidRPr="00BA21EC">
              <w:t>C.S.</w:t>
            </w:r>
            <w:r w:rsidR="00C90691" w:rsidRPr="00C90691">
              <w:t>H.B. 4316</w:t>
            </w:r>
            <w:r w:rsidR="00AC53AC">
              <w:t xml:space="preserve"> </w:t>
            </w:r>
            <w:r w:rsidR="00AC53AC" w:rsidRPr="00AC53AC">
              <w:t>changes the amount</w:t>
            </w:r>
            <w:r w:rsidR="00AC53AC">
              <w:t xml:space="preserve"> </w:t>
            </w:r>
            <w:r w:rsidR="007D1B40">
              <w:t xml:space="preserve">a residential service contract </w:t>
            </w:r>
            <w:r w:rsidR="00AB7FE6">
              <w:t xml:space="preserve">provider </w:t>
            </w:r>
            <w:r w:rsidR="00F1658F">
              <w:t>maintain</w:t>
            </w:r>
            <w:r w:rsidR="007D1B40">
              <w:t>s</w:t>
            </w:r>
            <w:r w:rsidR="00AC53AC">
              <w:t xml:space="preserve"> </w:t>
            </w:r>
            <w:r w:rsidR="00F1658F" w:rsidRPr="00F1658F">
              <w:t xml:space="preserve">in a funded reserve </w:t>
            </w:r>
            <w:r w:rsidR="007D1B40">
              <w:t xml:space="preserve">for the provider </w:t>
            </w:r>
            <w:r w:rsidR="00AC53AC">
              <w:t>to</w:t>
            </w:r>
            <w:r w:rsidR="00F1658F">
              <w:t xml:space="preserve"> use a</w:t>
            </w:r>
            <w:r w:rsidR="00AB7FE6">
              <w:t>s a</w:t>
            </w:r>
            <w:r w:rsidR="00F1658F">
              <w:t xml:space="preserve"> reimbursement insurance policy</w:t>
            </w:r>
            <w:r w:rsidR="007D1B40">
              <w:t xml:space="preserve"> issued by a captive insurance company</w:t>
            </w:r>
            <w:r w:rsidR="00F1658F">
              <w:t xml:space="preserve"> to</w:t>
            </w:r>
            <w:r w:rsidR="00AC53AC">
              <w:t xml:space="preserve"> insure the provider's residential service cont</w:t>
            </w:r>
            <w:r w:rsidR="00877314">
              <w:t>r</w:t>
            </w:r>
            <w:r w:rsidR="00AC53AC">
              <w:t>acts</w:t>
            </w:r>
            <w:r w:rsidR="00877314" w:rsidRPr="00877314">
              <w:t xml:space="preserve"> </w:t>
            </w:r>
            <w:r w:rsidR="00F1658F">
              <w:t xml:space="preserve">from an </w:t>
            </w:r>
            <w:r w:rsidR="00DF2C84">
              <w:t>amount</w:t>
            </w:r>
            <w:r w:rsidR="00AC53AC">
              <w:t xml:space="preserve"> </w:t>
            </w:r>
            <w:r w:rsidR="00DF2C84">
              <w:t xml:space="preserve">equal to </w:t>
            </w:r>
            <w:r w:rsidR="00AC53AC">
              <w:t>not less than</w:t>
            </w:r>
            <w:r w:rsidR="00877314">
              <w:t xml:space="preserve"> </w:t>
            </w:r>
            <w:r w:rsidR="00AC53AC">
              <w:t>25 percent of</w:t>
            </w:r>
            <w:r w:rsidR="00E70173">
              <w:t xml:space="preserve"> </w:t>
            </w:r>
            <w:r w:rsidR="00AC53AC" w:rsidRPr="00AC53AC">
              <w:t xml:space="preserve">the gross consideration the provider received from consumers from the sale of all the provider's service contracts issued and outstanding in </w:t>
            </w:r>
            <w:r w:rsidR="00AC53AC">
              <w:t>Texas</w:t>
            </w:r>
            <w:r w:rsidR="00E47CC3">
              <w:t xml:space="preserve"> </w:t>
            </w:r>
            <w:r w:rsidR="00AC53AC" w:rsidRPr="00AC53AC">
              <w:t>minus any claims paid</w:t>
            </w:r>
            <w:r w:rsidR="00DF2C84">
              <w:t>,</w:t>
            </w:r>
            <w:r w:rsidR="00AC53AC">
              <w:t xml:space="preserve"> to </w:t>
            </w:r>
            <w:r w:rsidR="00DF2C84">
              <w:t>an</w:t>
            </w:r>
            <w:r w:rsidR="00F1658F">
              <w:t xml:space="preserve"> amount</w:t>
            </w:r>
            <w:r w:rsidR="00AC53AC" w:rsidRPr="00AC53AC">
              <w:t xml:space="preserve"> equal to not less than</w:t>
            </w:r>
            <w:r w:rsidR="00710472">
              <w:t xml:space="preserve"> </w:t>
            </w:r>
            <w:r w:rsidR="00710472" w:rsidRPr="00710472">
              <w:t xml:space="preserve">an amount computed by subtracting the amount of any claims paid from the product of </w:t>
            </w:r>
            <w:r w:rsidR="00AC53AC" w:rsidRPr="00AC53AC">
              <w:t xml:space="preserve">25 percent </w:t>
            </w:r>
            <w:r w:rsidR="00710472">
              <w:t>and</w:t>
            </w:r>
            <w:r w:rsidR="00AC53AC" w:rsidRPr="00AC53AC">
              <w:t xml:space="preserve"> </w:t>
            </w:r>
            <w:r w:rsidR="000C7997">
              <w:t>such</w:t>
            </w:r>
            <w:r w:rsidR="00AC53AC" w:rsidRPr="00AC53AC">
              <w:t xml:space="preserve"> gross consideration.</w:t>
            </w:r>
            <w:r w:rsidR="00710472">
              <w:t xml:space="preserve"> </w:t>
            </w:r>
          </w:p>
          <w:p w14:paraId="1712D031" w14:textId="77777777" w:rsidR="00254622" w:rsidRDefault="00254622" w:rsidP="00D0540A">
            <w:pPr>
              <w:pStyle w:val="Header"/>
              <w:tabs>
                <w:tab w:val="clear" w:pos="4320"/>
                <w:tab w:val="clear" w:pos="8640"/>
              </w:tabs>
              <w:jc w:val="both"/>
            </w:pPr>
          </w:p>
          <w:p w14:paraId="23D3B164" w14:textId="38763639" w:rsidR="00C90691" w:rsidRDefault="00C0683D" w:rsidP="00D0540A">
            <w:pPr>
              <w:pStyle w:val="Header"/>
              <w:tabs>
                <w:tab w:val="clear" w:pos="4320"/>
                <w:tab w:val="clear" w:pos="8640"/>
              </w:tabs>
              <w:jc w:val="both"/>
            </w:pPr>
            <w:r>
              <w:t>C.</w:t>
            </w:r>
            <w:r>
              <w:t>S.H.B. 4316</w:t>
            </w:r>
            <w:r w:rsidR="00710472">
              <w:t xml:space="preserve"> requires TDLR to</w:t>
            </w:r>
            <w:r w:rsidR="00710472" w:rsidRPr="00710472">
              <w:t xml:space="preserve"> prescribe calculation form</w:t>
            </w:r>
            <w:r>
              <w:t>s, as applicable,</w:t>
            </w:r>
            <w:r w:rsidR="00710472" w:rsidRPr="00710472">
              <w:t xml:space="preserve"> to be used by a provider to calculate the minimum amount</w:t>
            </w:r>
            <w:r>
              <w:t>s</w:t>
            </w:r>
            <w:r w:rsidR="00710472" w:rsidRPr="00710472">
              <w:t xml:space="preserve"> required to be maintained in the provider's reserve account</w:t>
            </w:r>
            <w:r w:rsidR="00710472">
              <w:t xml:space="preserve">. </w:t>
            </w:r>
          </w:p>
          <w:p w14:paraId="62854981" w14:textId="2E61B820" w:rsidR="00C90691" w:rsidRDefault="00C90691" w:rsidP="00D0540A">
            <w:pPr>
              <w:pStyle w:val="Header"/>
              <w:tabs>
                <w:tab w:val="clear" w:pos="4320"/>
                <w:tab w:val="clear" w:pos="8640"/>
              </w:tabs>
              <w:jc w:val="both"/>
            </w:pPr>
          </w:p>
          <w:p w14:paraId="55B5F6B3" w14:textId="77777777" w:rsidR="008423E4" w:rsidRDefault="00C0683D" w:rsidP="00D0540A">
            <w:pPr>
              <w:pStyle w:val="Header"/>
              <w:tabs>
                <w:tab w:val="clear" w:pos="4320"/>
                <w:tab w:val="clear" w:pos="8640"/>
              </w:tabs>
              <w:jc w:val="both"/>
            </w:pPr>
            <w:r w:rsidRPr="00BA21EC">
              <w:t>C.S.</w:t>
            </w:r>
            <w:r w:rsidR="00C90691" w:rsidRPr="00C90691">
              <w:t>H.B. 4316</w:t>
            </w:r>
            <w:r w:rsidR="00F1658F">
              <w:t xml:space="preserve"> establishes </w:t>
            </w:r>
            <w:r w:rsidR="0010170F">
              <w:t xml:space="preserve">that </w:t>
            </w:r>
            <w:r w:rsidR="00F1658F">
              <w:t xml:space="preserve">a license issued by </w:t>
            </w:r>
            <w:r w:rsidR="00F1658F" w:rsidRPr="00F1658F">
              <w:t>the Texas Real Estate Commission under</w:t>
            </w:r>
            <w:r w:rsidR="002D2AD4">
              <w:t xml:space="preserve"> the former </w:t>
            </w:r>
            <w:r w:rsidR="002D2AD4" w:rsidRPr="002D2AD4">
              <w:t>Residential Service Company Act</w:t>
            </w:r>
            <w:r w:rsidR="002D2AD4">
              <w:t xml:space="preserve"> </w:t>
            </w:r>
            <w:r w:rsidR="002D2AD4" w:rsidRPr="002D2AD4">
              <w:t xml:space="preserve">before September 1, 2021, is continued in effect until January 1, 2024, as a provider or administrator registration issued by </w:t>
            </w:r>
            <w:r w:rsidR="002D2AD4">
              <w:t>TDLR</w:t>
            </w:r>
            <w:r w:rsidR="002D2AD4" w:rsidRPr="002D2AD4">
              <w:t xml:space="preserve"> under</w:t>
            </w:r>
            <w:r w:rsidR="002D2AD4">
              <w:t xml:space="preserve"> the </w:t>
            </w:r>
            <w:r w:rsidR="002D2AD4" w:rsidRPr="002D2AD4">
              <w:t>Service Contract Regulatory Act</w:t>
            </w:r>
            <w:r w:rsidR="002D2AD4">
              <w:t xml:space="preserve">. </w:t>
            </w:r>
          </w:p>
          <w:p w14:paraId="58B88D7D" w14:textId="52C11E58" w:rsidR="00A55269" w:rsidRPr="00835628" w:rsidRDefault="00A55269" w:rsidP="00D0540A">
            <w:pPr>
              <w:pStyle w:val="Header"/>
              <w:tabs>
                <w:tab w:val="clear" w:pos="4320"/>
                <w:tab w:val="clear" w:pos="8640"/>
              </w:tabs>
              <w:jc w:val="both"/>
              <w:rPr>
                <w:b/>
              </w:rPr>
            </w:pPr>
          </w:p>
        </w:tc>
      </w:tr>
      <w:tr w:rsidR="00F22E16" w14:paraId="7C348B38" w14:textId="77777777" w:rsidTr="00345119">
        <w:tc>
          <w:tcPr>
            <w:tcW w:w="9576" w:type="dxa"/>
          </w:tcPr>
          <w:p w14:paraId="460E57F3" w14:textId="77777777" w:rsidR="008423E4" w:rsidRPr="00A8133F" w:rsidRDefault="00C0683D" w:rsidP="00D0540A">
            <w:pPr>
              <w:rPr>
                <w:b/>
              </w:rPr>
            </w:pPr>
            <w:r w:rsidRPr="009C1E9A">
              <w:rPr>
                <w:b/>
                <w:u w:val="single"/>
              </w:rPr>
              <w:t>EFFECTIVE DATE</w:t>
            </w:r>
            <w:r>
              <w:rPr>
                <w:b/>
              </w:rPr>
              <w:t xml:space="preserve"> </w:t>
            </w:r>
          </w:p>
          <w:p w14:paraId="2F50DAB2" w14:textId="77777777" w:rsidR="008423E4" w:rsidRDefault="008423E4" w:rsidP="00D0540A"/>
          <w:p w14:paraId="4BE2BB33" w14:textId="768E6952" w:rsidR="008423E4" w:rsidRPr="003624F2" w:rsidRDefault="00C0683D" w:rsidP="00D0540A">
            <w:pPr>
              <w:pStyle w:val="Header"/>
              <w:tabs>
                <w:tab w:val="clear" w:pos="4320"/>
                <w:tab w:val="clear" w:pos="8640"/>
              </w:tabs>
              <w:jc w:val="both"/>
            </w:pPr>
            <w:r>
              <w:t>September 1, 2023.</w:t>
            </w:r>
          </w:p>
          <w:p w14:paraId="543479E1" w14:textId="77777777" w:rsidR="008423E4" w:rsidRPr="00233FDB" w:rsidRDefault="008423E4" w:rsidP="00D0540A">
            <w:pPr>
              <w:rPr>
                <w:b/>
              </w:rPr>
            </w:pPr>
          </w:p>
        </w:tc>
      </w:tr>
      <w:tr w:rsidR="00F22E16" w14:paraId="63D3050D" w14:textId="77777777" w:rsidTr="00345119">
        <w:tc>
          <w:tcPr>
            <w:tcW w:w="9576" w:type="dxa"/>
          </w:tcPr>
          <w:p w14:paraId="19A6248E" w14:textId="77777777" w:rsidR="00407681" w:rsidRDefault="00C0683D" w:rsidP="00D0540A">
            <w:pPr>
              <w:jc w:val="both"/>
              <w:rPr>
                <w:b/>
                <w:u w:val="single"/>
              </w:rPr>
            </w:pPr>
            <w:r>
              <w:rPr>
                <w:b/>
                <w:u w:val="single"/>
              </w:rPr>
              <w:t>COMPARISON OF INTRODUCED AND SUBSTITUTE</w:t>
            </w:r>
          </w:p>
          <w:p w14:paraId="34FD84F2" w14:textId="77777777" w:rsidR="00BE065E" w:rsidRDefault="00BE065E" w:rsidP="00D0540A">
            <w:pPr>
              <w:jc w:val="both"/>
            </w:pPr>
          </w:p>
          <w:p w14:paraId="0634DD48" w14:textId="7D317DF5" w:rsidR="00BE065E" w:rsidRDefault="00C0683D" w:rsidP="00D0540A">
            <w:pPr>
              <w:jc w:val="both"/>
            </w:pPr>
            <w:r>
              <w:t xml:space="preserve">While C.S.H.B. 4316 may differ from the introduced in </w:t>
            </w:r>
            <w:r>
              <w:t>minor or nonsubstantive ways, the following summarizes the substantial differences between the introduced and committee substitute versions of the bill.</w:t>
            </w:r>
          </w:p>
          <w:p w14:paraId="6EBA1065" w14:textId="5902D6CB" w:rsidR="00497C99" w:rsidRDefault="00497C99" w:rsidP="00D0540A">
            <w:pPr>
              <w:jc w:val="both"/>
            </w:pPr>
          </w:p>
          <w:p w14:paraId="5CF6FC8A" w14:textId="63AB9601" w:rsidR="00497C99" w:rsidRDefault="00C0683D" w:rsidP="00D0540A">
            <w:pPr>
              <w:jc w:val="both"/>
            </w:pPr>
            <w:r>
              <w:t>The substitute includes a provision absent from the introduced</w:t>
            </w:r>
            <w:r w:rsidR="007C026C">
              <w:t xml:space="preserve"> making </w:t>
            </w:r>
            <w:r w:rsidR="007C026C" w:rsidRPr="007C026C">
              <w:t>confidential and not subject to disclosure under state public information law</w:t>
            </w:r>
            <w:r w:rsidR="007C026C">
              <w:t xml:space="preserve"> </w:t>
            </w:r>
            <w:r w:rsidR="007C026C" w:rsidRPr="007C026C">
              <w:t>documents</w:t>
            </w:r>
            <w:r w:rsidR="007C026C">
              <w:t xml:space="preserve"> submitted to or maintained by TDLR</w:t>
            </w:r>
            <w:r w:rsidR="007C026C" w:rsidRPr="007C026C">
              <w:t xml:space="preserve"> that are claimed, in a manner determined by </w:t>
            </w:r>
            <w:r w:rsidR="007C026C">
              <w:t>TDLR</w:t>
            </w:r>
            <w:r w:rsidR="007C026C" w:rsidRPr="007C026C">
              <w:t>, proprietary or confidential for competitive purposes</w:t>
            </w:r>
            <w:r w:rsidR="007C026C">
              <w:t xml:space="preserve">. </w:t>
            </w:r>
          </w:p>
          <w:p w14:paraId="48A69B33" w14:textId="7A01A760" w:rsidR="007C026C" w:rsidRDefault="007C026C" w:rsidP="00D0540A">
            <w:pPr>
              <w:jc w:val="both"/>
            </w:pPr>
          </w:p>
          <w:p w14:paraId="2C7EFFB1" w14:textId="1CE002ED" w:rsidR="007C026C" w:rsidRDefault="00C0683D" w:rsidP="00D0540A">
            <w:pPr>
              <w:jc w:val="both"/>
            </w:pPr>
            <w:r>
              <w:t>Whereas the introdu</w:t>
            </w:r>
            <w:r w:rsidR="00254622">
              <w:t xml:space="preserve">ced </w:t>
            </w:r>
            <w:r w:rsidR="00254622" w:rsidRPr="00254622">
              <w:t>change</w:t>
            </w:r>
            <w:r w:rsidR="00254622">
              <w:t>d</w:t>
            </w:r>
            <w:r w:rsidR="00254622" w:rsidRPr="00254622">
              <w:t xml:space="preserve"> the amount maintained in a funded reserve account a provider must maintain to ensure the provider's obligations to its service contract holders from an amount equal to not less than 40 percent of the gross consideration the provider received from consumers from the sale of all service contracts issued and outstanding in Texas, minus any claims paid, to an amount equal to not less than 40 percent of the difference between such gross consideration received by the provider and any claims paid during the preceding twelve-month period</w:t>
            </w:r>
            <w:r w:rsidR="00254622">
              <w:t>, the substitute changes the amount to</w:t>
            </w:r>
            <w:r w:rsidR="00F913E7">
              <w:t xml:space="preserve"> an</w:t>
            </w:r>
            <w:r w:rsidR="00254622">
              <w:t xml:space="preserve"> </w:t>
            </w:r>
            <w:r w:rsidR="00254622" w:rsidRPr="00254622">
              <w:t>amount computed by subtracting the amount of any claims paid from the product of 40 percent and such gross consideration</w:t>
            </w:r>
            <w:r w:rsidR="00254622">
              <w:t>.</w:t>
            </w:r>
          </w:p>
          <w:p w14:paraId="198A55BC" w14:textId="5DE0A78D" w:rsidR="00452E92" w:rsidRDefault="00452E92" w:rsidP="00D0540A">
            <w:pPr>
              <w:jc w:val="both"/>
            </w:pPr>
          </w:p>
          <w:p w14:paraId="0E88B859" w14:textId="482AE283" w:rsidR="00452E92" w:rsidRDefault="00C0683D" w:rsidP="00D0540A">
            <w:pPr>
              <w:jc w:val="both"/>
            </w:pPr>
            <w:r>
              <w:t xml:space="preserve">Whereas the introduced </w:t>
            </w:r>
            <w:r w:rsidRPr="00452E92">
              <w:t>change</w:t>
            </w:r>
            <w:r>
              <w:t>d</w:t>
            </w:r>
            <w:r w:rsidRPr="00452E92">
              <w:t xml:space="preserve"> the amount a residential service contract provider maintains in a</w:t>
            </w:r>
            <w:r w:rsidRPr="00452E92">
              <w:t xml:space="preserve"> funded reserve for the provider to use a reimbursement insurance policy issued by a captive insurance company to insure the provider's residential service contacts from an amount equal to not less than 25 percent of the gross consideration the provider re</w:t>
            </w:r>
            <w:r w:rsidRPr="00452E92">
              <w:t>ceived from consumers from the sale of all the provider's service contracts issued and outstanding in Texas, minus any claims paid, to an amount equal to not less than 25 percent of the difference between such gross consideration received by the provider a</w:t>
            </w:r>
            <w:r w:rsidRPr="00452E92">
              <w:t>nd any claims paid during the preceding twelve-month period</w:t>
            </w:r>
            <w:r>
              <w:t xml:space="preserve">, the substitute changes the amount to not less than </w:t>
            </w:r>
            <w:r w:rsidRPr="00452E92">
              <w:t>an amount computed by subtracting the amount of any claims paid from the product of 25 percent and such gross consideration.</w:t>
            </w:r>
          </w:p>
          <w:p w14:paraId="458C0355" w14:textId="77777777" w:rsidR="00497C99" w:rsidRDefault="00497C99" w:rsidP="00D0540A">
            <w:pPr>
              <w:jc w:val="both"/>
            </w:pPr>
          </w:p>
          <w:p w14:paraId="5FE9AFC6" w14:textId="0ED5398E" w:rsidR="00956AE7" w:rsidRDefault="00C0683D" w:rsidP="00D0540A">
            <w:pPr>
              <w:jc w:val="both"/>
            </w:pPr>
            <w:r>
              <w:t>The substitute inc</w:t>
            </w:r>
            <w:r>
              <w:t xml:space="preserve">ludes provisions </w:t>
            </w:r>
            <w:r w:rsidR="00452E92">
              <w:t>absent from the introduced</w:t>
            </w:r>
            <w:r>
              <w:t xml:space="preserve"> requir</w:t>
            </w:r>
            <w:r w:rsidR="00452E92">
              <w:t>ing</w:t>
            </w:r>
            <w:r>
              <w:t xml:space="preserve"> TDLR </w:t>
            </w:r>
            <w:r w:rsidRPr="00956AE7">
              <w:t>to prescribe a calculation form to be used by a provider to calculate the minimum amount</w:t>
            </w:r>
            <w:r w:rsidR="00452E92">
              <w:t>s</w:t>
            </w:r>
            <w:r w:rsidRPr="00956AE7">
              <w:t xml:space="preserve"> required to be maintained in the provider's </w:t>
            </w:r>
            <w:r w:rsidR="00570441">
              <w:t xml:space="preserve">funded </w:t>
            </w:r>
            <w:r w:rsidRPr="00956AE7">
              <w:t>reserve account</w:t>
            </w:r>
            <w:r w:rsidR="00F913E7">
              <w:t xml:space="preserve"> and funded reserve, as applicable</w:t>
            </w:r>
            <w:r>
              <w:t>.</w:t>
            </w:r>
          </w:p>
          <w:p w14:paraId="246C24F8" w14:textId="7E397000" w:rsidR="00BE065E" w:rsidRPr="00BE065E" w:rsidRDefault="00C0683D" w:rsidP="00D0540A">
            <w:pPr>
              <w:jc w:val="both"/>
            </w:pPr>
            <w:r>
              <w:t xml:space="preserve"> </w:t>
            </w:r>
          </w:p>
        </w:tc>
      </w:tr>
      <w:tr w:rsidR="00F22E16" w14:paraId="62DD782B" w14:textId="77777777" w:rsidTr="00345119">
        <w:tc>
          <w:tcPr>
            <w:tcW w:w="9576" w:type="dxa"/>
          </w:tcPr>
          <w:p w14:paraId="083E8E15" w14:textId="77777777" w:rsidR="00407681" w:rsidRPr="009C1E9A" w:rsidRDefault="00407681" w:rsidP="00D0540A">
            <w:pPr>
              <w:rPr>
                <w:b/>
                <w:u w:val="single"/>
              </w:rPr>
            </w:pPr>
          </w:p>
        </w:tc>
      </w:tr>
      <w:tr w:rsidR="00F22E16" w14:paraId="29A067AA" w14:textId="77777777" w:rsidTr="00345119">
        <w:tc>
          <w:tcPr>
            <w:tcW w:w="9576" w:type="dxa"/>
          </w:tcPr>
          <w:p w14:paraId="7C24C4D7" w14:textId="77777777" w:rsidR="00407681" w:rsidRPr="00407681" w:rsidRDefault="00407681" w:rsidP="00D0540A">
            <w:pPr>
              <w:jc w:val="both"/>
            </w:pPr>
          </w:p>
        </w:tc>
      </w:tr>
    </w:tbl>
    <w:p w14:paraId="06CDE56C" w14:textId="77777777" w:rsidR="008423E4" w:rsidRPr="00BE0E75" w:rsidRDefault="008423E4" w:rsidP="00D0540A">
      <w:pPr>
        <w:jc w:val="both"/>
        <w:rPr>
          <w:rFonts w:ascii="Arial" w:hAnsi="Arial"/>
          <w:sz w:val="16"/>
          <w:szCs w:val="16"/>
        </w:rPr>
      </w:pPr>
    </w:p>
    <w:p w14:paraId="23E7204D" w14:textId="77777777" w:rsidR="004108C3" w:rsidRPr="008423E4" w:rsidRDefault="004108C3" w:rsidP="00D0540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E19D" w14:textId="77777777" w:rsidR="00000000" w:rsidRDefault="00C0683D">
      <w:r>
        <w:separator/>
      </w:r>
    </w:p>
  </w:endnote>
  <w:endnote w:type="continuationSeparator" w:id="0">
    <w:p w14:paraId="1C36A0A8" w14:textId="77777777" w:rsidR="00000000" w:rsidRDefault="00C0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C19" w14:textId="77777777" w:rsidR="00964E6F" w:rsidRDefault="00964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22E16" w14:paraId="631418ED" w14:textId="77777777" w:rsidTr="009C1E9A">
      <w:trPr>
        <w:cantSplit/>
      </w:trPr>
      <w:tc>
        <w:tcPr>
          <w:tcW w:w="0" w:type="pct"/>
        </w:tcPr>
        <w:p w14:paraId="68C51A25" w14:textId="77777777" w:rsidR="00137D90" w:rsidRDefault="00137D90" w:rsidP="009C1E9A">
          <w:pPr>
            <w:pStyle w:val="Footer"/>
            <w:tabs>
              <w:tab w:val="clear" w:pos="8640"/>
              <w:tab w:val="right" w:pos="9360"/>
            </w:tabs>
          </w:pPr>
        </w:p>
      </w:tc>
      <w:tc>
        <w:tcPr>
          <w:tcW w:w="2395" w:type="pct"/>
        </w:tcPr>
        <w:p w14:paraId="6C88DB06" w14:textId="77777777" w:rsidR="00137D90" w:rsidRDefault="00137D90" w:rsidP="009C1E9A">
          <w:pPr>
            <w:pStyle w:val="Footer"/>
            <w:tabs>
              <w:tab w:val="clear" w:pos="8640"/>
              <w:tab w:val="right" w:pos="9360"/>
            </w:tabs>
          </w:pPr>
        </w:p>
        <w:p w14:paraId="5947705C" w14:textId="77777777" w:rsidR="001A4310" w:rsidRDefault="001A4310" w:rsidP="009C1E9A">
          <w:pPr>
            <w:pStyle w:val="Footer"/>
            <w:tabs>
              <w:tab w:val="clear" w:pos="8640"/>
              <w:tab w:val="right" w:pos="9360"/>
            </w:tabs>
          </w:pPr>
        </w:p>
        <w:p w14:paraId="24AE6AF1" w14:textId="77777777" w:rsidR="00137D90" w:rsidRDefault="00137D90" w:rsidP="009C1E9A">
          <w:pPr>
            <w:pStyle w:val="Footer"/>
            <w:tabs>
              <w:tab w:val="clear" w:pos="8640"/>
              <w:tab w:val="right" w:pos="9360"/>
            </w:tabs>
          </w:pPr>
        </w:p>
      </w:tc>
      <w:tc>
        <w:tcPr>
          <w:tcW w:w="2453" w:type="pct"/>
        </w:tcPr>
        <w:p w14:paraId="52495A25" w14:textId="77777777" w:rsidR="00137D90" w:rsidRDefault="00137D90" w:rsidP="009C1E9A">
          <w:pPr>
            <w:pStyle w:val="Footer"/>
            <w:tabs>
              <w:tab w:val="clear" w:pos="8640"/>
              <w:tab w:val="right" w:pos="9360"/>
            </w:tabs>
            <w:jc w:val="right"/>
          </w:pPr>
        </w:p>
      </w:tc>
    </w:tr>
    <w:tr w:rsidR="00F22E16" w14:paraId="77EBCA98" w14:textId="77777777" w:rsidTr="009C1E9A">
      <w:trPr>
        <w:cantSplit/>
      </w:trPr>
      <w:tc>
        <w:tcPr>
          <w:tcW w:w="0" w:type="pct"/>
        </w:tcPr>
        <w:p w14:paraId="150D33FC" w14:textId="77777777" w:rsidR="00EC379B" w:rsidRDefault="00EC379B" w:rsidP="009C1E9A">
          <w:pPr>
            <w:pStyle w:val="Footer"/>
            <w:tabs>
              <w:tab w:val="clear" w:pos="8640"/>
              <w:tab w:val="right" w:pos="9360"/>
            </w:tabs>
          </w:pPr>
        </w:p>
      </w:tc>
      <w:tc>
        <w:tcPr>
          <w:tcW w:w="2395" w:type="pct"/>
        </w:tcPr>
        <w:p w14:paraId="36901600" w14:textId="7B650A39" w:rsidR="00EC379B" w:rsidRPr="009C1E9A" w:rsidRDefault="00C0683D" w:rsidP="009C1E9A">
          <w:pPr>
            <w:pStyle w:val="Footer"/>
            <w:tabs>
              <w:tab w:val="clear" w:pos="8640"/>
              <w:tab w:val="right" w:pos="9360"/>
            </w:tabs>
            <w:rPr>
              <w:rFonts w:ascii="Shruti" w:hAnsi="Shruti"/>
              <w:sz w:val="22"/>
            </w:rPr>
          </w:pPr>
          <w:r>
            <w:rPr>
              <w:rFonts w:ascii="Shruti" w:hAnsi="Shruti"/>
              <w:sz w:val="22"/>
            </w:rPr>
            <w:t>88R 25741-D</w:t>
          </w:r>
        </w:p>
      </w:tc>
      <w:tc>
        <w:tcPr>
          <w:tcW w:w="2453" w:type="pct"/>
        </w:tcPr>
        <w:p w14:paraId="50A8D477" w14:textId="7F79CB20" w:rsidR="00EC379B" w:rsidRDefault="00C0683D" w:rsidP="009C1E9A">
          <w:pPr>
            <w:pStyle w:val="Footer"/>
            <w:tabs>
              <w:tab w:val="clear" w:pos="8640"/>
              <w:tab w:val="right" w:pos="9360"/>
            </w:tabs>
            <w:jc w:val="right"/>
          </w:pPr>
          <w:r>
            <w:fldChar w:fldCharType="begin"/>
          </w:r>
          <w:r>
            <w:instrText xml:space="preserve"> DOCPROPERTY  OTID  \* MERGEFORMAT </w:instrText>
          </w:r>
          <w:r>
            <w:fldChar w:fldCharType="separate"/>
          </w:r>
          <w:r w:rsidR="00232218">
            <w:t>23.114.2654</w:t>
          </w:r>
          <w:r>
            <w:fldChar w:fldCharType="end"/>
          </w:r>
        </w:p>
      </w:tc>
    </w:tr>
    <w:tr w:rsidR="00F22E16" w14:paraId="0FBC054B" w14:textId="77777777" w:rsidTr="009C1E9A">
      <w:trPr>
        <w:cantSplit/>
      </w:trPr>
      <w:tc>
        <w:tcPr>
          <w:tcW w:w="0" w:type="pct"/>
        </w:tcPr>
        <w:p w14:paraId="2BC8229B" w14:textId="77777777" w:rsidR="00EC379B" w:rsidRDefault="00EC379B" w:rsidP="009C1E9A">
          <w:pPr>
            <w:pStyle w:val="Footer"/>
            <w:tabs>
              <w:tab w:val="clear" w:pos="4320"/>
              <w:tab w:val="clear" w:pos="8640"/>
              <w:tab w:val="left" w:pos="2865"/>
            </w:tabs>
          </w:pPr>
        </w:p>
      </w:tc>
      <w:tc>
        <w:tcPr>
          <w:tcW w:w="2395" w:type="pct"/>
        </w:tcPr>
        <w:p w14:paraId="37E451AD" w14:textId="1DB30225" w:rsidR="00EC379B" w:rsidRPr="009C1E9A" w:rsidRDefault="00C0683D" w:rsidP="009C1E9A">
          <w:pPr>
            <w:pStyle w:val="Footer"/>
            <w:tabs>
              <w:tab w:val="clear" w:pos="4320"/>
              <w:tab w:val="clear" w:pos="8640"/>
              <w:tab w:val="left" w:pos="2865"/>
            </w:tabs>
            <w:rPr>
              <w:rFonts w:ascii="Shruti" w:hAnsi="Shruti"/>
              <w:sz w:val="22"/>
            </w:rPr>
          </w:pPr>
          <w:r>
            <w:rPr>
              <w:rFonts w:ascii="Shruti" w:hAnsi="Shruti"/>
              <w:sz w:val="22"/>
            </w:rPr>
            <w:t>Substitute Document Number: 88R 23869</w:t>
          </w:r>
        </w:p>
      </w:tc>
      <w:tc>
        <w:tcPr>
          <w:tcW w:w="2453" w:type="pct"/>
        </w:tcPr>
        <w:p w14:paraId="4D1E2A9F" w14:textId="77777777" w:rsidR="00EC379B" w:rsidRDefault="00EC379B" w:rsidP="006D504F">
          <w:pPr>
            <w:pStyle w:val="Footer"/>
            <w:rPr>
              <w:rStyle w:val="PageNumber"/>
            </w:rPr>
          </w:pPr>
        </w:p>
        <w:p w14:paraId="1955E843" w14:textId="77777777" w:rsidR="00EC379B" w:rsidRDefault="00EC379B" w:rsidP="009C1E9A">
          <w:pPr>
            <w:pStyle w:val="Footer"/>
            <w:tabs>
              <w:tab w:val="clear" w:pos="8640"/>
              <w:tab w:val="right" w:pos="9360"/>
            </w:tabs>
            <w:jc w:val="right"/>
          </w:pPr>
        </w:p>
      </w:tc>
    </w:tr>
    <w:tr w:rsidR="00F22E16" w14:paraId="09916F44" w14:textId="77777777" w:rsidTr="009C1E9A">
      <w:trPr>
        <w:cantSplit/>
        <w:trHeight w:val="323"/>
      </w:trPr>
      <w:tc>
        <w:tcPr>
          <w:tcW w:w="0" w:type="pct"/>
          <w:gridSpan w:val="3"/>
        </w:tcPr>
        <w:p w14:paraId="3B23D581" w14:textId="77777777" w:rsidR="00EC379B" w:rsidRDefault="00C0683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C285BC" w14:textId="77777777" w:rsidR="00EC379B" w:rsidRDefault="00EC379B" w:rsidP="009C1E9A">
          <w:pPr>
            <w:pStyle w:val="Footer"/>
            <w:tabs>
              <w:tab w:val="clear" w:pos="8640"/>
              <w:tab w:val="right" w:pos="9360"/>
            </w:tabs>
            <w:jc w:val="center"/>
          </w:pPr>
        </w:p>
      </w:tc>
    </w:tr>
  </w:tbl>
  <w:p w14:paraId="2B6641B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91E7" w14:textId="77777777" w:rsidR="00964E6F" w:rsidRDefault="0096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CD73" w14:textId="77777777" w:rsidR="00000000" w:rsidRDefault="00C0683D">
      <w:r>
        <w:separator/>
      </w:r>
    </w:p>
  </w:footnote>
  <w:footnote w:type="continuationSeparator" w:id="0">
    <w:p w14:paraId="12EEFA3D" w14:textId="77777777" w:rsidR="00000000" w:rsidRDefault="00C0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B017" w14:textId="77777777" w:rsidR="00964E6F" w:rsidRDefault="00964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50C6" w14:textId="77777777" w:rsidR="00964E6F" w:rsidRDefault="00964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6F24" w14:textId="77777777" w:rsidR="00964E6F" w:rsidRDefault="00964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301"/>
    <w:multiLevelType w:val="hybridMultilevel"/>
    <w:tmpl w:val="48066060"/>
    <w:lvl w:ilvl="0" w:tplc="93468A0E">
      <w:start w:val="1"/>
      <w:numFmt w:val="bullet"/>
      <w:lvlText w:val=""/>
      <w:lvlJc w:val="left"/>
      <w:pPr>
        <w:tabs>
          <w:tab w:val="num" w:pos="853"/>
        </w:tabs>
        <w:ind w:left="853" w:hanging="360"/>
      </w:pPr>
      <w:rPr>
        <w:rFonts w:ascii="Symbol" w:hAnsi="Symbol" w:hint="default"/>
      </w:rPr>
    </w:lvl>
    <w:lvl w:ilvl="1" w:tplc="9FEEE502" w:tentative="1">
      <w:start w:val="1"/>
      <w:numFmt w:val="bullet"/>
      <w:lvlText w:val="o"/>
      <w:lvlJc w:val="left"/>
      <w:pPr>
        <w:ind w:left="1573" w:hanging="360"/>
      </w:pPr>
      <w:rPr>
        <w:rFonts w:ascii="Courier New" w:hAnsi="Courier New" w:cs="Courier New" w:hint="default"/>
      </w:rPr>
    </w:lvl>
    <w:lvl w:ilvl="2" w:tplc="27B6F17E" w:tentative="1">
      <w:start w:val="1"/>
      <w:numFmt w:val="bullet"/>
      <w:lvlText w:val=""/>
      <w:lvlJc w:val="left"/>
      <w:pPr>
        <w:ind w:left="2293" w:hanging="360"/>
      </w:pPr>
      <w:rPr>
        <w:rFonts w:ascii="Wingdings" w:hAnsi="Wingdings" w:hint="default"/>
      </w:rPr>
    </w:lvl>
    <w:lvl w:ilvl="3" w:tplc="F1E0A856" w:tentative="1">
      <w:start w:val="1"/>
      <w:numFmt w:val="bullet"/>
      <w:lvlText w:val=""/>
      <w:lvlJc w:val="left"/>
      <w:pPr>
        <w:ind w:left="3013" w:hanging="360"/>
      </w:pPr>
      <w:rPr>
        <w:rFonts w:ascii="Symbol" w:hAnsi="Symbol" w:hint="default"/>
      </w:rPr>
    </w:lvl>
    <w:lvl w:ilvl="4" w:tplc="7CC03F54" w:tentative="1">
      <w:start w:val="1"/>
      <w:numFmt w:val="bullet"/>
      <w:lvlText w:val="o"/>
      <w:lvlJc w:val="left"/>
      <w:pPr>
        <w:ind w:left="3733" w:hanging="360"/>
      </w:pPr>
      <w:rPr>
        <w:rFonts w:ascii="Courier New" w:hAnsi="Courier New" w:cs="Courier New" w:hint="default"/>
      </w:rPr>
    </w:lvl>
    <w:lvl w:ilvl="5" w:tplc="E6D298B2" w:tentative="1">
      <w:start w:val="1"/>
      <w:numFmt w:val="bullet"/>
      <w:lvlText w:val=""/>
      <w:lvlJc w:val="left"/>
      <w:pPr>
        <w:ind w:left="4453" w:hanging="360"/>
      </w:pPr>
      <w:rPr>
        <w:rFonts w:ascii="Wingdings" w:hAnsi="Wingdings" w:hint="default"/>
      </w:rPr>
    </w:lvl>
    <w:lvl w:ilvl="6" w:tplc="60122BEA" w:tentative="1">
      <w:start w:val="1"/>
      <w:numFmt w:val="bullet"/>
      <w:lvlText w:val=""/>
      <w:lvlJc w:val="left"/>
      <w:pPr>
        <w:ind w:left="5173" w:hanging="360"/>
      </w:pPr>
      <w:rPr>
        <w:rFonts w:ascii="Symbol" w:hAnsi="Symbol" w:hint="default"/>
      </w:rPr>
    </w:lvl>
    <w:lvl w:ilvl="7" w:tplc="38966194" w:tentative="1">
      <w:start w:val="1"/>
      <w:numFmt w:val="bullet"/>
      <w:lvlText w:val="o"/>
      <w:lvlJc w:val="left"/>
      <w:pPr>
        <w:ind w:left="5893" w:hanging="360"/>
      </w:pPr>
      <w:rPr>
        <w:rFonts w:ascii="Courier New" w:hAnsi="Courier New" w:cs="Courier New" w:hint="default"/>
      </w:rPr>
    </w:lvl>
    <w:lvl w:ilvl="8" w:tplc="EFC4BEB4" w:tentative="1">
      <w:start w:val="1"/>
      <w:numFmt w:val="bullet"/>
      <w:lvlText w:val=""/>
      <w:lvlJc w:val="left"/>
      <w:pPr>
        <w:ind w:left="6613" w:hanging="360"/>
      </w:pPr>
      <w:rPr>
        <w:rFonts w:ascii="Wingdings" w:hAnsi="Wingdings" w:hint="default"/>
      </w:rPr>
    </w:lvl>
  </w:abstractNum>
  <w:num w:numId="1" w16cid:durableId="203826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1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540"/>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99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2B76"/>
    <w:rsid w:val="000F3DBD"/>
    <w:rsid w:val="000F5843"/>
    <w:rsid w:val="000F6A06"/>
    <w:rsid w:val="0010154D"/>
    <w:rsid w:val="0010170F"/>
    <w:rsid w:val="00102D3F"/>
    <w:rsid w:val="00102EC7"/>
    <w:rsid w:val="0010347D"/>
    <w:rsid w:val="00106567"/>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A8F"/>
    <w:rsid w:val="0020775D"/>
    <w:rsid w:val="002116DD"/>
    <w:rsid w:val="0021383D"/>
    <w:rsid w:val="00216BBA"/>
    <w:rsid w:val="00216E12"/>
    <w:rsid w:val="00217466"/>
    <w:rsid w:val="0021751D"/>
    <w:rsid w:val="00217C49"/>
    <w:rsid w:val="0022177D"/>
    <w:rsid w:val="002242DA"/>
    <w:rsid w:val="00224C37"/>
    <w:rsid w:val="002304DF"/>
    <w:rsid w:val="00232218"/>
    <w:rsid w:val="0023341D"/>
    <w:rsid w:val="002338DA"/>
    <w:rsid w:val="00233D66"/>
    <w:rsid w:val="00233FDB"/>
    <w:rsid w:val="00234F58"/>
    <w:rsid w:val="0023507D"/>
    <w:rsid w:val="0024077A"/>
    <w:rsid w:val="00241EC1"/>
    <w:rsid w:val="002431DA"/>
    <w:rsid w:val="0024691D"/>
    <w:rsid w:val="00247D27"/>
    <w:rsid w:val="00250A50"/>
    <w:rsid w:val="00251ED5"/>
    <w:rsid w:val="00254622"/>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CFF"/>
    <w:rsid w:val="00281343"/>
    <w:rsid w:val="00281883"/>
    <w:rsid w:val="002874E3"/>
    <w:rsid w:val="00287656"/>
    <w:rsid w:val="00291518"/>
    <w:rsid w:val="00296FF0"/>
    <w:rsid w:val="002A17C0"/>
    <w:rsid w:val="002A48DF"/>
    <w:rsid w:val="002A5A84"/>
    <w:rsid w:val="002A6E6F"/>
    <w:rsid w:val="002A74E4"/>
    <w:rsid w:val="002A7CFE"/>
    <w:rsid w:val="002B1C67"/>
    <w:rsid w:val="002B26DD"/>
    <w:rsid w:val="002B2870"/>
    <w:rsid w:val="002B391B"/>
    <w:rsid w:val="002B5B42"/>
    <w:rsid w:val="002B7BA7"/>
    <w:rsid w:val="002C1C17"/>
    <w:rsid w:val="002C3203"/>
    <w:rsid w:val="002C3B07"/>
    <w:rsid w:val="002C532B"/>
    <w:rsid w:val="002C5713"/>
    <w:rsid w:val="002D05CC"/>
    <w:rsid w:val="002D2AD4"/>
    <w:rsid w:val="002D305A"/>
    <w:rsid w:val="002E21B8"/>
    <w:rsid w:val="002E3519"/>
    <w:rsid w:val="002E7DF9"/>
    <w:rsid w:val="002F097B"/>
    <w:rsid w:val="002F2147"/>
    <w:rsid w:val="002F3111"/>
    <w:rsid w:val="002F4AEC"/>
    <w:rsid w:val="002F795D"/>
    <w:rsid w:val="00300823"/>
    <w:rsid w:val="00300D7F"/>
    <w:rsid w:val="00301638"/>
    <w:rsid w:val="00301818"/>
    <w:rsid w:val="00303B0C"/>
    <w:rsid w:val="0030459C"/>
    <w:rsid w:val="0030472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982"/>
    <w:rsid w:val="003E0875"/>
    <w:rsid w:val="003E0BB8"/>
    <w:rsid w:val="003E6CB0"/>
    <w:rsid w:val="003F1F5E"/>
    <w:rsid w:val="003F286A"/>
    <w:rsid w:val="003F77F8"/>
    <w:rsid w:val="00400ACD"/>
    <w:rsid w:val="00401C48"/>
    <w:rsid w:val="00403B15"/>
    <w:rsid w:val="00403E8A"/>
    <w:rsid w:val="00407681"/>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BCD"/>
    <w:rsid w:val="00447018"/>
    <w:rsid w:val="00450561"/>
    <w:rsid w:val="00450A40"/>
    <w:rsid w:val="00451D7C"/>
    <w:rsid w:val="00452E92"/>
    <w:rsid w:val="00452FC3"/>
    <w:rsid w:val="00454715"/>
    <w:rsid w:val="00455936"/>
    <w:rsid w:val="00455ACE"/>
    <w:rsid w:val="00461B69"/>
    <w:rsid w:val="00462B3D"/>
    <w:rsid w:val="004746CA"/>
    <w:rsid w:val="00474927"/>
    <w:rsid w:val="00475913"/>
    <w:rsid w:val="00480080"/>
    <w:rsid w:val="004824A7"/>
    <w:rsid w:val="00483AF0"/>
    <w:rsid w:val="00484167"/>
    <w:rsid w:val="00492211"/>
    <w:rsid w:val="00492325"/>
    <w:rsid w:val="00492A6D"/>
    <w:rsid w:val="00494303"/>
    <w:rsid w:val="0049682B"/>
    <w:rsid w:val="004977A3"/>
    <w:rsid w:val="00497C99"/>
    <w:rsid w:val="004A03F7"/>
    <w:rsid w:val="004A081C"/>
    <w:rsid w:val="004A123F"/>
    <w:rsid w:val="004A2172"/>
    <w:rsid w:val="004A239F"/>
    <w:rsid w:val="004A53C0"/>
    <w:rsid w:val="004B138F"/>
    <w:rsid w:val="004B412A"/>
    <w:rsid w:val="004B576C"/>
    <w:rsid w:val="004B6E84"/>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1D9"/>
    <w:rsid w:val="004F32AD"/>
    <w:rsid w:val="004F57CB"/>
    <w:rsid w:val="004F64F6"/>
    <w:rsid w:val="004F69C0"/>
    <w:rsid w:val="00500121"/>
    <w:rsid w:val="005017AC"/>
    <w:rsid w:val="00501E8A"/>
    <w:rsid w:val="00505121"/>
    <w:rsid w:val="00505C04"/>
    <w:rsid w:val="00505F1B"/>
    <w:rsid w:val="005073E8"/>
    <w:rsid w:val="00510503"/>
    <w:rsid w:val="0051324D"/>
    <w:rsid w:val="0051446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441"/>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3C6"/>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78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F9D"/>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472"/>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261"/>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11F"/>
    <w:rsid w:val="007A5466"/>
    <w:rsid w:val="007A7EC1"/>
    <w:rsid w:val="007B4FCA"/>
    <w:rsid w:val="007B7B85"/>
    <w:rsid w:val="007C026C"/>
    <w:rsid w:val="007C462E"/>
    <w:rsid w:val="007C496B"/>
    <w:rsid w:val="007C6803"/>
    <w:rsid w:val="007D1B40"/>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0D2"/>
    <w:rsid w:val="008170E2"/>
    <w:rsid w:val="00823E4C"/>
    <w:rsid w:val="00827749"/>
    <w:rsid w:val="00827B7E"/>
    <w:rsid w:val="00830EEB"/>
    <w:rsid w:val="008347A9"/>
    <w:rsid w:val="00835628"/>
    <w:rsid w:val="00835E90"/>
    <w:rsid w:val="0084176D"/>
    <w:rsid w:val="008423E4"/>
    <w:rsid w:val="00842900"/>
    <w:rsid w:val="00842C72"/>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314"/>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723"/>
    <w:rsid w:val="008B2B1A"/>
    <w:rsid w:val="008B3428"/>
    <w:rsid w:val="008B4A91"/>
    <w:rsid w:val="008B7785"/>
    <w:rsid w:val="008B79F2"/>
    <w:rsid w:val="008C0809"/>
    <w:rsid w:val="008C132C"/>
    <w:rsid w:val="008C3FD0"/>
    <w:rsid w:val="008D27A5"/>
    <w:rsid w:val="008D2AAB"/>
    <w:rsid w:val="008D309C"/>
    <w:rsid w:val="008D58F9"/>
    <w:rsid w:val="008D7427"/>
    <w:rsid w:val="008E27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AFA"/>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6AE7"/>
    <w:rsid w:val="00960F2D"/>
    <w:rsid w:val="0096482F"/>
    <w:rsid w:val="0096488E"/>
    <w:rsid w:val="00964E3A"/>
    <w:rsid w:val="00964E6F"/>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269"/>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5E1B"/>
    <w:rsid w:val="00AA66AD"/>
    <w:rsid w:val="00AA67A3"/>
    <w:rsid w:val="00AA7E52"/>
    <w:rsid w:val="00AB1655"/>
    <w:rsid w:val="00AB1873"/>
    <w:rsid w:val="00AB2C05"/>
    <w:rsid w:val="00AB3536"/>
    <w:rsid w:val="00AB474B"/>
    <w:rsid w:val="00AB5CCC"/>
    <w:rsid w:val="00AB74E2"/>
    <w:rsid w:val="00AB7FE6"/>
    <w:rsid w:val="00AC2E9A"/>
    <w:rsid w:val="00AC53A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2C99"/>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1EC"/>
    <w:rsid w:val="00BA32EE"/>
    <w:rsid w:val="00BB5B36"/>
    <w:rsid w:val="00BB5E23"/>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D4D"/>
    <w:rsid w:val="00BD77D6"/>
    <w:rsid w:val="00BE00CD"/>
    <w:rsid w:val="00BE065E"/>
    <w:rsid w:val="00BE0E75"/>
    <w:rsid w:val="00BE1789"/>
    <w:rsid w:val="00BE3634"/>
    <w:rsid w:val="00BE3E30"/>
    <w:rsid w:val="00BE5274"/>
    <w:rsid w:val="00BE71CD"/>
    <w:rsid w:val="00BE7748"/>
    <w:rsid w:val="00BE7BDA"/>
    <w:rsid w:val="00BF0548"/>
    <w:rsid w:val="00BF4949"/>
    <w:rsid w:val="00BF4D7C"/>
    <w:rsid w:val="00BF5085"/>
    <w:rsid w:val="00BF7B48"/>
    <w:rsid w:val="00C013F4"/>
    <w:rsid w:val="00C040AB"/>
    <w:rsid w:val="00C0499B"/>
    <w:rsid w:val="00C05406"/>
    <w:rsid w:val="00C05CF0"/>
    <w:rsid w:val="00C0683D"/>
    <w:rsid w:val="00C119AC"/>
    <w:rsid w:val="00C14EE6"/>
    <w:rsid w:val="00C151DA"/>
    <w:rsid w:val="00C152A1"/>
    <w:rsid w:val="00C16CCB"/>
    <w:rsid w:val="00C2142B"/>
    <w:rsid w:val="00C22987"/>
    <w:rsid w:val="00C23956"/>
    <w:rsid w:val="00C248E6"/>
    <w:rsid w:val="00C25DE8"/>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0C1C"/>
    <w:rsid w:val="00C82743"/>
    <w:rsid w:val="00C834CE"/>
    <w:rsid w:val="00C9047F"/>
    <w:rsid w:val="00C90691"/>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40A"/>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C84"/>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CC3"/>
    <w:rsid w:val="00E500F1"/>
    <w:rsid w:val="00E51446"/>
    <w:rsid w:val="00E529C8"/>
    <w:rsid w:val="00E5396D"/>
    <w:rsid w:val="00E55DA0"/>
    <w:rsid w:val="00E56033"/>
    <w:rsid w:val="00E61159"/>
    <w:rsid w:val="00E625DA"/>
    <w:rsid w:val="00E634DC"/>
    <w:rsid w:val="00E667F3"/>
    <w:rsid w:val="00E67794"/>
    <w:rsid w:val="00E70173"/>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58F"/>
    <w:rsid w:val="00F176E4"/>
    <w:rsid w:val="00F20E5F"/>
    <w:rsid w:val="00F22E16"/>
    <w:rsid w:val="00F25C26"/>
    <w:rsid w:val="00F25CC2"/>
    <w:rsid w:val="00F25E83"/>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A18"/>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13E7"/>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1C407B-5CF4-4AF0-81EE-C61D52E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A5E1B"/>
    <w:rPr>
      <w:sz w:val="16"/>
      <w:szCs w:val="16"/>
    </w:rPr>
  </w:style>
  <w:style w:type="paragraph" w:styleId="CommentText">
    <w:name w:val="annotation text"/>
    <w:basedOn w:val="Normal"/>
    <w:link w:val="CommentTextChar"/>
    <w:semiHidden/>
    <w:unhideWhenUsed/>
    <w:rsid w:val="00AA5E1B"/>
    <w:rPr>
      <w:sz w:val="20"/>
      <w:szCs w:val="20"/>
    </w:rPr>
  </w:style>
  <w:style w:type="character" w:customStyle="1" w:styleId="CommentTextChar">
    <w:name w:val="Comment Text Char"/>
    <w:basedOn w:val="DefaultParagraphFont"/>
    <w:link w:val="CommentText"/>
    <w:semiHidden/>
    <w:rsid w:val="00AA5E1B"/>
  </w:style>
  <w:style w:type="paragraph" w:styleId="CommentSubject">
    <w:name w:val="annotation subject"/>
    <w:basedOn w:val="CommentText"/>
    <w:next w:val="CommentText"/>
    <w:link w:val="CommentSubjectChar"/>
    <w:semiHidden/>
    <w:unhideWhenUsed/>
    <w:rsid w:val="00AA5E1B"/>
    <w:rPr>
      <w:b/>
      <w:bCs/>
    </w:rPr>
  </w:style>
  <w:style w:type="character" w:customStyle="1" w:styleId="CommentSubjectChar">
    <w:name w:val="Comment Subject Char"/>
    <w:basedOn w:val="CommentTextChar"/>
    <w:link w:val="CommentSubject"/>
    <w:semiHidden/>
    <w:rsid w:val="00AA5E1B"/>
    <w:rPr>
      <w:b/>
      <w:bCs/>
    </w:rPr>
  </w:style>
  <w:style w:type="paragraph" w:styleId="Revision">
    <w:name w:val="Revision"/>
    <w:hidden/>
    <w:uiPriority w:val="99"/>
    <w:semiHidden/>
    <w:rsid w:val="00280C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5400</Characters>
  <Application>Microsoft Office Word</Application>
  <DocSecurity>4</DocSecurity>
  <Lines>116</Lines>
  <Paragraphs>30</Paragraphs>
  <ScaleCrop>false</ScaleCrop>
  <HeadingPairs>
    <vt:vector size="2" baseType="variant">
      <vt:variant>
        <vt:lpstr>Title</vt:lpstr>
      </vt:variant>
      <vt:variant>
        <vt:i4>1</vt:i4>
      </vt:variant>
    </vt:vector>
  </HeadingPairs>
  <TitlesOfParts>
    <vt:vector size="1" baseType="lpstr">
      <vt:lpstr>BA - HB04316 (Committee Report (Substituted))</vt:lpstr>
    </vt:vector>
  </TitlesOfParts>
  <Company>State of Texas</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25741</dc:subject>
  <dc:creator>State of Texas</dc:creator>
  <dc:description>HB 4316 by Goldman-(H)Business &amp; Industry (Substitute Document Number: 88R 23869)</dc:description>
  <cp:lastModifiedBy>Stacey Nicchio</cp:lastModifiedBy>
  <cp:revision>2</cp:revision>
  <cp:lastPrinted>2003-11-26T17:21:00Z</cp:lastPrinted>
  <dcterms:created xsi:type="dcterms:W3CDTF">2023-05-02T00:08:00Z</dcterms:created>
  <dcterms:modified xsi:type="dcterms:W3CDTF">2023-05-02T00:08:00Z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23.114.2654</vt:lpwstr>
  </property>
</Properties>
</file>