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E2F1E" w14:paraId="652BF2A2" w14:textId="77777777" w:rsidTr="00345119">
        <w:tc>
          <w:tcPr>
            <w:tcW w:w="9576" w:type="dxa"/>
            <w:noWrap/>
          </w:tcPr>
          <w:p w14:paraId="53F1252C" w14:textId="77777777" w:rsidR="008423E4" w:rsidRPr="0022177D" w:rsidRDefault="00272040" w:rsidP="00771C53">
            <w:pPr>
              <w:pStyle w:val="Heading1"/>
            </w:pPr>
            <w:r w:rsidRPr="00631897">
              <w:t>BILL ANALYSIS</w:t>
            </w:r>
          </w:p>
        </w:tc>
      </w:tr>
    </w:tbl>
    <w:p w14:paraId="62080F09" w14:textId="77777777" w:rsidR="008423E4" w:rsidRPr="0022177D" w:rsidRDefault="008423E4" w:rsidP="00771C53">
      <w:pPr>
        <w:jc w:val="center"/>
      </w:pPr>
    </w:p>
    <w:p w14:paraId="6A35B278" w14:textId="77777777" w:rsidR="008423E4" w:rsidRPr="00B31F0E" w:rsidRDefault="008423E4" w:rsidP="00771C53"/>
    <w:p w14:paraId="290C9C82" w14:textId="77777777" w:rsidR="008423E4" w:rsidRPr="00742794" w:rsidRDefault="008423E4" w:rsidP="00771C5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E2F1E" w14:paraId="2C430B9B" w14:textId="77777777" w:rsidTr="00345119">
        <w:tc>
          <w:tcPr>
            <w:tcW w:w="9576" w:type="dxa"/>
          </w:tcPr>
          <w:p w14:paraId="63DCE4D1" w14:textId="77777777" w:rsidR="008423E4" w:rsidRPr="00861995" w:rsidRDefault="00272040" w:rsidP="00771C53">
            <w:pPr>
              <w:jc w:val="right"/>
            </w:pPr>
            <w:r>
              <w:t>H.B. 4362</w:t>
            </w:r>
          </w:p>
        </w:tc>
      </w:tr>
      <w:tr w:rsidR="005E2F1E" w14:paraId="43F46C7D" w14:textId="77777777" w:rsidTr="00345119">
        <w:tc>
          <w:tcPr>
            <w:tcW w:w="9576" w:type="dxa"/>
          </w:tcPr>
          <w:p w14:paraId="2320FF72" w14:textId="77777777" w:rsidR="008423E4" w:rsidRPr="00861995" w:rsidRDefault="00272040" w:rsidP="00771C53">
            <w:pPr>
              <w:jc w:val="right"/>
            </w:pPr>
            <w:r>
              <w:t xml:space="preserve">By: </w:t>
            </w:r>
            <w:r w:rsidR="00B12FED">
              <w:t>Johnson, Ann</w:t>
            </w:r>
          </w:p>
        </w:tc>
      </w:tr>
      <w:tr w:rsidR="005E2F1E" w14:paraId="09B3E605" w14:textId="77777777" w:rsidTr="00345119">
        <w:tc>
          <w:tcPr>
            <w:tcW w:w="9576" w:type="dxa"/>
          </w:tcPr>
          <w:p w14:paraId="12F2DA78" w14:textId="77777777" w:rsidR="008423E4" w:rsidRPr="00861995" w:rsidRDefault="00272040" w:rsidP="00771C53">
            <w:pPr>
              <w:jc w:val="right"/>
            </w:pPr>
            <w:r>
              <w:t>Corrections</w:t>
            </w:r>
          </w:p>
        </w:tc>
      </w:tr>
      <w:tr w:rsidR="005E2F1E" w14:paraId="75CFDACA" w14:textId="77777777" w:rsidTr="00345119">
        <w:tc>
          <w:tcPr>
            <w:tcW w:w="9576" w:type="dxa"/>
          </w:tcPr>
          <w:p w14:paraId="558BF8AD" w14:textId="77777777" w:rsidR="008423E4" w:rsidRDefault="00272040" w:rsidP="00771C53">
            <w:pPr>
              <w:jc w:val="right"/>
            </w:pPr>
            <w:r>
              <w:t>Committee Report (Unamended)</w:t>
            </w:r>
          </w:p>
        </w:tc>
      </w:tr>
    </w:tbl>
    <w:p w14:paraId="42095E56" w14:textId="77777777" w:rsidR="008423E4" w:rsidRDefault="008423E4" w:rsidP="00771C53">
      <w:pPr>
        <w:tabs>
          <w:tab w:val="right" w:pos="9360"/>
        </w:tabs>
      </w:pPr>
    </w:p>
    <w:p w14:paraId="7C74D2E5" w14:textId="77777777" w:rsidR="008423E4" w:rsidRDefault="008423E4" w:rsidP="00771C53"/>
    <w:p w14:paraId="28CB8A3D" w14:textId="77777777" w:rsidR="008423E4" w:rsidRDefault="008423E4" w:rsidP="00771C5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E2F1E" w14:paraId="3569B29E" w14:textId="77777777" w:rsidTr="00345119">
        <w:tc>
          <w:tcPr>
            <w:tcW w:w="9576" w:type="dxa"/>
          </w:tcPr>
          <w:p w14:paraId="23830121" w14:textId="77777777" w:rsidR="008423E4" w:rsidRPr="00A8133F" w:rsidRDefault="00272040" w:rsidP="00771C5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CF26F4" w14:textId="77777777" w:rsidR="008423E4" w:rsidRDefault="008423E4" w:rsidP="00771C53"/>
          <w:p w14:paraId="6D1641EB" w14:textId="433AA6C8" w:rsidR="008423E4" w:rsidRDefault="00272040" w:rsidP="00771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Texans </w:t>
            </w:r>
            <w:r w:rsidR="00150A11">
              <w:t xml:space="preserve">who </w:t>
            </w:r>
            <w:r>
              <w:t xml:space="preserve">have some type of criminal record </w:t>
            </w:r>
            <w:r w:rsidR="007360C0">
              <w:t>often face</w:t>
            </w:r>
            <w:r>
              <w:t xml:space="preserve"> a net of legal prohibitions and diminished opportunity that have little to do with public safety. Barriers that make it difficult to find gainful employment, secure stable housing, or support a family make it harder to escape the cycle of crime and can be</w:t>
            </w:r>
            <w:r>
              <w:t xml:space="preserve"> a lifetime burden. Moreover, under </w:t>
            </w:r>
            <w:r w:rsidR="00E725A8">
              <w:t xml:space="preserve">state </w:t>
            </w:r>
            <w:r>
              <w:t>law, eligibility to have one's record sealed is limited. Record sealing or "order of nondisclosure" prevents a record from being viewed by private employers and landlords, while still allowing courts, law enforceme</w:t>
            </w:r>
            <w:r>
              <w:t xml:space="preserve">nt, and other specified government agencies to retain access to it. With limited exceptions, only </w:t>
            </w:r>
            <w:r w:rsidR="00E725A8">
              <w:t xml:space="preserve">individuals </w:t>
            </w:r>
            <w:r>
              <w:t xml:space="preserve">who </w:t>
            </w:r>
            <w:r w:rsidR="00E725A8">
              <w:t xml:space="preserve">have </w:t>
            </w:r>
            <w:r>
              <w:t>successfully completed deferred adjudication or who were convicted of a first-time misdemeanor are eligible for record sealing. These res</w:t>
            </w:r>
            <w:r>
              <w:t>trictions limit opportunities for persons from reentering society, which can often result in persons reentering the prison criminal justice system. H</w:t>
            </w:r>
            <w:r w:rsidR="00E725A8">
              <w:t>.</w:t>
            </w:r>
            <w:r>
              <w:t>B</w:t>
            </w:r>
            <w:r w:rsidR="00E725A8">
              <w:t>.</w:t>
            </w:r>
            <w:r>
              <w:t xml:space="preserve"> 4362 would expand access to orders of nondisclosure for people with nonviolent criminal convictions and</w:t>
            </w:r>
            <w:r>
              <w:t xml:space="preserve"> reduce the amount of time a person must wait prior to petitioning the court to seal certain records. Specifically, </w:t>
            </w:r>
            <w:r w:rsidR="00E725A8">
              <w:t xml:space="preserve">H.B. 4362 </w:t>
            </w:r>
            <w:r>
              <w:t>extend</w:t>
            </w:r>
            <w:r w:rsidR="00E725A8">
              <w:t>s</w:t>
            </w:r>
            <w:r>
              <w:t xml:space="preserve"> eligibility to persons with nonviolent state jail felony convictions and allow</w:t>
            </w:r>
            <w:r w:rsidR="007360C0">
              <w:t>s</w:t>
            </w:r>
            <w:r>
              <w:t xml:space="preserve"> for persons with </w:t>
            </w:r>
            <w:r w:rsidR="00E725A8">
              <w:t xml:space="preserve">more than one </w:t>
            </w:r>
            <w:r>
              <w:t xml:space="preserve">nonviolent </w:t>
            </w:r>
            <w:r>
              <w:t>misdemeanor or state jail felony conviction to petition for nondisclosure relief after a specified number of years have passed since completion of their last sentence</w:t>
            </w:r>
            <w:r w:rsidR="00E725A8">
              <w:t>, subject to a court's approval</w:t>
            </w:r>
            <w:r>
              <w:t xml:space="preserve">. </w:t>
            </w:r>
          </w:p>
          <w:p w14:paraId="09EBC824" w14:textId="77777777" w:rsidR="008423E4" w:rsidRPr="00E26B13" w:rsidRDefault="008423E4" w:rsidP="00771C53">
            <w:pPr>
              <w:rPr>
                <w:b/>
              </w:rPr>
            </w:pPr>
          </w:p>
        </w:tc>
      </w:tr>
      <w:tr w:rsidR="005E2F1E" w14:paraId="4DE2E3F1" w14:textId="77777777" w:rsidTr="00345119">
        <w:tc>
          <w:tcPr>
            <w:tcW w:w="9576" w:type="dxa"/>
          </w:tcPr>
          <w:p w14:paraId="32F63150" w14:textId="77777777" w:rsidR="0017725B" w:rsidRDefault="00272040" w:rsidP="00771C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CEA2B4" w14:textId="77777777" w:rsidR="0017725B" w:rsidRDefault="0017725B" w:rsidP="00771C53">
            <w:pPr>
              <w:rPr>
                <w:b/>
                <w:u w:val="single"/>
              </w:rPr>
            </w:pPr>
          </w:p>
          <w:p w14:paraId="36AF52E3" w14:textId="77777777" w:rsidR="0017725B" w:rsidRDefault="00272040" w:rsidP="00771C53">
            <w:pPr>
              <w:jc w:val="both"/>
            </w:pPr>
            <w:r>
              <w:t>It is the committee's opinion</w:t>
            </w:r>
            <w:r>
              <w:t xml:space="preserve">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00729FF" w14:textId="45C1CBAC" w:rsidR="00771C53" w:rsidRPr="0017725B" w:rsidRDefault="00771C53" w:rsidP="00771C53">
            <w:pPr>
              <w:jc w:val="both"/>
              <w:rPr>
                <w:b/>
                <w:u w:val="single"/>
              </w:rPr>
            </w:pPr>
          </w:p>
        </w:tc>
      </w:tr>
      <w:tr w:rsidR="005E2F1E" w14:paraId="4A31A6D8" w14:textId="77777777" w:rsidTr="00345119">
        <w:tc>
          <w:tcPr>
            <w:tcW w:w="9576" w:type="dxa"/>
          </w:tcPr>
          <w:p w14:paraId="144F7942" w14:textId="77777777" w:rsidR="008423E4" w:rsidRPr="00A8133F" w:rsidRDefault="00272040" w:rsidP="00771C53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RULEMAKING </w:t>
            </w:r>
            <w:r w:rsidRPr="009C1E9A">
              <w:rPr>
                <w:b/>
                <w:u w:val="single"/>
              </w:rPr>
              <w:t>AUTHORITY</w:t>
            </w:r>
            <w:r>
              <w:rPr>
                <w:b/>
              </w:rPr>
              <w:t xml:space="preserve"> </w:t>
            </w:r>
          </w:p>
          <w:p w14:paraId="47EB913F" w14:textId="77777777" w:rsidR="008423E4" w:rsidRDefault="008423E4" w:rsidP="00771C53"/>
          <w:p w14:paraId="044C1F39" w14:textId="77777777" w:rsidR="008423E4" w:rsidRDefault="00272040" w:rsidP="00771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49DF0F4" w14:textId="2C1D8A37" w:rsidR="00DB1B82" w:rsidRPr="00E21FDC" w:rsidRDefault="00DB1B82" w:rsidP="00771C5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E2F1E" w14:paraId="3BCD2017" w14:textId="77777777" w:rsidTr="00345119">
        <w:tc>
          <w:tcPr>
            <w:tcW w:w="9576" w:type="dxa"/>
          </w:tcPr>
          <w:p w14:paraId="6DDA7D04" w14:textId="7F0B9A4A" w:rsidR="008423E4" w:rsidRDefault="00272040" w:rsidP="00771C5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2B0230" w14:textId="77777777" w:rsidR="00771C53" w:rsidRPr="00A8133F" w:rsidRDefault="00771C53" w:rsidP="00771C53">
            <w:pPr>
              <w:rPr>
                <w:b/>
              </w:rPr>
            </w:pPr>
          </w:p>
          <w:p w14:paraId="2A003360" w14:textId="17FDBCEC" w:rsidR="005C63EB" w:rsidRDefault="00272040" w:rsidP="00771C53">
            <w:pPr>
              <w:jc w:val="both"/>
            </w:pPr>
            <w:r>
              <w:t xml:space="preserve">H.B. 4362 amends the Government Code to change </w:t>
            </w:r>
            <w:r w:rsidR="00A9092B">
              <w:t xml:space="preserve">the </w:t>
            </w:r>
            <w:r w:rsidR="00B227C7">
              <w:t xml:space="preserve">earliest </w:t>
            </w:r>
            <w:r w:rsidR="00A9092B">
              <w:t xml:space="preserve">date on </w:t>
            </w:r>
            <w:r w:rsidR="00462091">
              <w:t xml:space="preserve">which a person may petition </w:t>
            </w:r>
            <w:r w:rsidR="00E06DE3">
              <w:t xml:space="preserve">the </w:t>
            </w:r>
            <w:r w:rsidR="00462091">
              <w:t xml:space="preserve">court </w:t>
            </w:r>
            <w:r w:rsidR="00462091" w:rsidRPr="00462091">
              <w:t>that placed the person on deferred adjudication community supervision for an order of nondisclosure of criminal history record information</w:t>
            </w:r>
            <w:r w:rsidR="00E06DE3">
              <w:t xml:space="preserve"> as follows</w:t>
            </w:r>
            <w:r w:rsidR="006C1AA6">
              <w:t>:</w:t>
            </w:r>
          </w:p>
          <w:p w14:paraId="0639A02A" w14:textId="760A1759" w:rsidR="003045DA" w:rsidRDefault="00272040" w:rsidP="00771C5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from the fifth </w:t>
            </w:r>
            <w:r w:rsidR="00EE5027">
              <w:t xml:space="preserve">anniversary of the discharge and dismissal to the first anniversary of the discharge and dismissal </w:t>
            </w:r>
            <w:r w:rsidR="00570DED">
              <w:t xml:space="preserve">for </w:t>
            </w:r>
            <w:r w:rsidR="00EE5027">
              <w:t xml:space="preserve">a state jail felony offense </w:t>
            </w:r>
            <w:r w:rsidR="00462091" w:rsidRPr="00462091">
              <w:t>other than a state jail felony</w:t>
            </w:r>
            <w:r w:rsidR="00961740">
              <w:t xml:space="preserve"> for </w:t>
            </w:r>
            <w:r>
              <w:t>the following:</w:t>
            </w:r>
          </w:p>
          <w:p w14:paraId="6FDA87E8" w14:textId="7C2EA4CB" w:rsidR="003045DA" w:rsidRDefault="00272040" w:rsidP="00771C53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kidnapping, unlawful restraint, and smuggling of persons</w:t>
            </w:r>
            <w:r w:rsidR="006644AB">
              <w:t xml:space="preserve"> offenses</w:t>
            </w:r>
            <w:r>
              <w:t xml:space="preserve">; </w:t>
            </w:r>
          </w:p>
          <w:p w14:paraId="04FF814B" w14:textId="2474FC81" w:rsidR="006644AB" w:rsidRDefault="00272040" w:rsidP="00771C53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sexual offenses; </w:t>
            </w:r>
          </w:p>
          <w:p w14:paraId="5480737D" w14:textId="3707A4F9" w:rsidR="006644AB" w:rsidRDefault="00272040" w:rsidP="00771C53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assaultive offenses; </w:t>
            </w:r>
          </w:p>
          <w:p w14:paraId="5DB42E7A" w14:textId="3B50C291" w:rsidR="006644AB" w:rsidRDefault="00272040" w:rsidP="00771C53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offenses ag</w:t>
            </w:r>
            <w:r>
              <w:t xml:space="preserve">ainst the family; </w:t>
            </w:r>
          </w:p>
          <w:p w14:paraId="26B79BD2" w14:textId="244513E9" w:rsidR="006644AB" w:rsidRDefault="00272040" w:rsidP="00771C53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disorderly conduct and related offenses; </w:t>
            </w:r>
          </w:p>
          <w:p w14:paraId="75B8FE3C" w14:textId="0919A651" w:rsidR="006644AB" w:rsidRDefault="00272040" w:rsidP="00771C53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public indecency</w:t>
            </w:r>
            <w:r w:rsidR="003D0DEF">
              <w:t xml:space="preserve"> offenses</w:t>
            </w:r>
            <w:r>
              <w:t xml:space="preserve">; </w:t>
            </w:r>
          </w:p>
          <w:p w14:paraId="33022446" w14:textId="132032C8" w:rsidR="006644AB" w:rsidRDefault="00272040" w:rsidP="00771C53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weapons </w:t>
            </w:r>
            <w:r w:rsidR="00961740">
              <w:t>offenses</w:t>
            </w:r>
            <w:r>
              <w:t>;</w:t>
            </w:r>
            <w:r w:rsidR="00961740">
              <w:t xml:space="preserve"> </w:t>
            </w:r>
          </w:p>
          <w:p w14:paraId="29003D4F" w14:textId="0BA65E43" w:rsidR="006644AB" w:rsidRDefault="00272040" w:rsidP="00771C53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intoxication and alcoholic beverage offenses; and </w:t>
            </w:r>
          </w:p>
          <w:p w14:paraId="00D50DD7" w14:textId="5548D708" w:rsidR="00462091" w:rsidRDefault="00272040" w:rsidP="00771C53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organized crime </w:t>
            </w:r>
            <w:r w:rsidR="006644AB">
              <w:t>offenses</w:t>
            </w:r>
            <w:r>
              <w:t>; and</w:t>
            </w:r>
          </w:p>
          <w:p w14:paraId="3CF010ED" w14:textId="60F24D5B" w:rsidR="005C63EB" w:rsidRDefault="00272040" w:rsidP="00771C5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from the fifth anniversary </w:t>
            </w:r>
            <w:r w:rsidR="00570DED">
              <w:t xml:space="preserve">of the discharge and dismissal </w:t>
            </w:r>
            <w:r>
              <w:t>to the th</w:t>
            </w:r>
            <w:r>
              <w:t xml:space="preserve">ird anniversary </w:t>
            </w:r>
            <w:r w:rsidRPr="001310B7">
              <w:t>of the discharge and dismissal</w:t>
            </w:r>
            <w:r w:rsidR="00570DED">
              <w:t xml:space="preserve"> for</w:t>
            </w:r>
            <w:r w:rsidRPr="001310B7">
              <w:t xml:space="preserve"> a</w:t>
            </w:r>
            <w:r w:rsidR="00570DED">
              <w:t>ny</w:t>
            </w:r>
            <w:r w:rsidR="00297A82">
              <w:t xml:space="preserve"> other</w:t>
            </w:r>
            <w:r w:rsidRPr="001310B7">
              <w:t xml:space="preserve"> felony </w:t>
            </w:r>
            <w:r w:rsidR="00297A82">
              <w:t>offense</w:t>
            </w:r>
            <w:r>
              <w:t>.</w:t>
            </w:r>
          </w:p>
          <w:p w14:paraId="1CC87475" w14:textId="77777777" w:rsidR="00472E01" w:rsidRPr="00472E01" w:rsidRDefault="00472E01" w:rsidP="00771C53">
            <w:pPr>
              <w:jc w:val="both"/>
            </w:pPr>
          </w:p>
          <w:p w14:paraId="14562A9C" w14:textId="20DFE703" w:rsidR="00297A82" w:rsidRDefault="00272040" w:rsidP="00771C53">
            <w:pPr>
              <w:jc w:val="both"/>
            </w:pPr>
            <w:r>
              <w:t>H.B. 4362 authorizes a</w:t>
            </w:r>
            <w:r w:rsidR="00DE59AC">
              <w:t xml:space="preserve"> </w:t>
            </w:r>
            <w:r>
              <w:t xml:space="preserve">person placed on community supervision for a state jail felony </w:t>
            </w:r>
            <w:r w:rsidR="003D0DEF">
              <w:t xml:space="preserve">offense </w:t>
            </w:r>
            <w:r w:rsidR="00DE59AC">
              <w:t>and</w:t>
            </w:r>
            <w:r w:rsidR="00EF43DA">
              <w:t xml:space="preserve"> who</w:t>
            </w:r>
            <w:r w:rsidR="00DE59AC">
              <w:t xml:space="preserve"> otherwise meets the requisite conditions of eligibility </w:t>
            </w:r>
            <w:r>
              <w:t xml:space="preserve">to petition the court </w:t>
            </w:r>
            <w:r w:rsidR="003D0DEF">
              <w:t xml:space="preserve">for an order of nondisclosure of criminal history record information </w:t>
            </w:r>
            <w:r>
              <w:t>on or after the first anniversary of the date of completion of the community supervision</w:t>
            </w:r>
            <w:r w:rsidR="003D0DEF">
              <w:t>, provided the offense is not a state jail felony for the following</w:t>
            </w:r>
            <w:r>
              <w:t>:</w:t>
            </w:r>
          </w:p>
          <w:p w14:paraId="0411DED6" w14:textId="58FB5F76" w:rsidR="00297A82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kidnapping, unlawful restraint, and smuggling of persons offenses; </w:t>
            </w:r>
          </w:p>
          <w:p w14:paraId="3C9E763C" w14:textId="21D25273" w:rsidR="00297A82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sexual offenses; </w:t>
            </w:r>
          </w:p>
          <w:p w14:paraId="262AA202" w14:textId="3AC096D7" w:rsidR="00297A82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assaultive offenses; </w:t>
            </w:r>
          </w:p>
          <w:p w14:paraId="4C95E1C5" w14:textId="1A48A1E4" w:rsidR="00297A82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offenses against the family; </w:t>
            </w:r>
          </w:p>
          <w:p w14:paraId="2D032181" w14:textId="2E355D40" w:rsidR="00297A82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disorderly conduct and related offenses; </w:t>
            </w:r>
          </w:p>
          <w:p w14:paraId="6C290AA8" w14:textId="55F11042" w:rsidR="00297A82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public indecency</w:t>
            </w:r>
            <w:r w:rsidR="00EC73D6">
              <w:t xml:space="preserve"> offenses</w:t>
            </w:r>
            <w:r>
              <w:t xml:space="preserve">; </w:t>
            </w:r>
          </w:p>
          <w:p w14:paraId="7D8AC317" w14:textId="10951306" w:rsidR="00297A82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weapons offenses; </w:t>
            </w:r>
          </w:p>
          <w:p w14:paraId="4F6B577E" w14:textId="3F97B6F8" w:rsidR="00297A82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intoxication and alcoholic beverage offenses; </w:t>
            </w:r>
            <w:r w:rsidR="000F7716">
              <w:t>or</w:t>
            </w:r>
            <w:r>
              <w:t xml:space="preserve"> </w:t>
            </w:r>
          </w:p>
          <w:p w14:paraId="73A81B17" w14:textId="30046AA2" w:rsidR="00297A82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organized crime offenses</w:t>
            </w:r>
            <w:r w:rsidR="003D0DEF">
              <w:t>.</w:t>
            </w:r>
          </w:p>
          <w:p w14:paraId="495B0D83" w14:textId="51020AD0" w:rsidR="000F2142" w:rsidRDefault="00272040" w:rsidP="00771C53">
            <w:pPr>
              <w:jc w:val="both"/>
            </w:pPr>
            <w:r>
              <w:t>The bill</w:t>
            </w:r>
            <w:r w:rsidR="00DF0FF2">
              <w:t xml:space="preserve"> </w:t>
            </w:r>
            <w:r w:rsidR="00C66706">
              <w:t xml:space="preserve">authorizes a </w:t>
            </w:r>
            <w:r w:rsidR="00C66706" w:rsidRPr="00C66706">
              <w:t>court that issues an order of nondisclosure of criminal history record information</w:t>
            </w:r>
            <w:r w:rsidR="00C66706">
              <w:t xml:space="preserve"> to </w:t>
            </w:r>
            <w:r w:rsidR="00C66706" w:rsidRPr="00C66706">
              <w:t>include in the order any offense arising out of the same transaction as the offense for which the order is sought if the other offense</w:t>
            </w:r>
            <w:r w:rsidR="00C66706">
              <w:t xml:space="preserve"> </w:t>
            </w:r>
            <w:r w:rsidR="00C66706" w:rsidRPr="00C66706">
              <w:t>satisfies the requirements for issuance of an order of nondisclosure of criminal history record information</w:t>
            </w:r>
            <w:r w:rsidR="00C66706">
              <w:t xml:space="preserve"> or </w:t>
            </w:r>
            <w:r w:rsidR="00C66706" w:rsidRPr="00C66706">
              <w:t>has not resulted in a final conviction and is no longer pending.</w:t>
            </w:r>
          </w:p>
          <w:p w14:paraId="341A443C" w14:textId="3548C4AD" w:rsidR="00C66706" w:rsidRDefault="00C66706" w:rsidP="00771C53">
            <w:pPr>
              <w:jc w:val="both"/>
            </w:pPr>
          </w:p>
          <w:p w14:paraId="29C905FF" w14:textId="77D29505" w:rsidR="00EC73D6" w:rsidRDefault="00272040" w:rsidP="00771C53">
            <w:pPr>
              <w:jc w:val="both"/>
            </w:pPr>
            <w:r>
              <w:t xml:space="preserve">H.B. 4362 changes the earliest date on which a person who is convicted </w:t>
            </w:r>
            <w:r w:rsidR="004C354A">
              <w:t>of a misdemeanor offense</w:t>
            </w:r>
            <w:r>
              <w:t xml:space="preserve"> and meets the requisite conditions of eligibility may petition the court for an order of nondisclosure of criminal history record information from the s</w:t>
            </w:r>
            <w:r>
              <w:t>econd anniversary of the date of the completion of the sentence to the first anniversary of the date of the completion of the sentence, provided the offense is not a misdemeanor for the following:</w:t>
            </w:r>
          </w:p>
          <w:p w14:paraId="308FE259" w14:textId="2514CB53" w:rsidR="00EC73D6" w:rsidRDefault="00272040" w:rsidP="00771C5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kidnapping, unlawful restraint, and smuggling of persons of</w:t>
            </w:r>
            <w:r>
              <w:t xml:space="preserve">fenses; </w:t>
            </w:r>
          </w:p>
          <w:p w14:paraId="1AEB3B56" w14:textId="615507D6" w:rsidR="00EC73D6" w:rsidRDefault="00272040" w:rsidP="00771C5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sexual offenses; </w:t>
            </w:r>
          </w:p>
          <w:p w14:paraId="4D502543" w14:textId="6209BC89" w:rsidR="00EC73D6" w:rsidRDefault="00272040" w:rsidP="00771C5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assaultive offenses; </w:t>
            </w:r>
          </w:p>
          <w:p w14:paraId="16B25F12" w14:textId="56BEFEAE" w:rsidR="00EC73D6" w:rsidRDefault="00272040" w:rsidP="00771C5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offenses against the family; </w:t>
            </w:r>
          </w:p>
          <w:p w14:paraId="53F60650" w14:textId="3C16B47C" w:rsidR="00EC73D6" w:rsidRDefault="00272040" w:rsidP="00771C5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disorderly conduct and related offenses; </w:t>
            </w:r>
          </w:p>
          <w:p w14:paraId="205CFD90" w14:textId="3A308FA5" w:rsidR="00EC73D6" w:rsidRDefault="00272040" w:rsidP="00771C5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public indecency offenses; </w:t>
            </w:r>
          </w:p>
          <w:p w14:paraId="2A783044" w14:textId="08C2380A" w:rsidR="00EC73D6" w:rsidRDefault="00272040" w:rsidP="00771C5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weapons offenses; </w:t>
            </w:r>
            <w:r w:rsidR="000F7716">
              <w:t>or</w:t>
            </w:r>
          </w:p>
          <w:p w14:paraId="19A80DA5" w14:textId="7AE373E0" w:rsidR="00742618" w:rsidRDefault="00272040" w:rsidP="00771C5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intoxication and alcoholic beverage offenses.</w:t>
            </w:r>
            <w:r w:rsidR="004C354A">
              <w:t xml:space="preserve"> </w:t>
            </w:r>
          </w:p>
          <w:p w14:paraId="07775EE7" w14:textId="7AE62662" w:rsidR="000F7716" w:rsidRDefault="00272040" w:rsidP="00771C53">
            <w:pPr>
              <w:jc w:val="both"/>
            </w:pPr>
            <w:r>
              <w:t xml:space="preserve">The bill </w:t>
            </w:r>
            <w:r w:rsidR="0031495A">
              <w:t xml:space="preserve">authorizes a person </w:t>
            </w:r>
            <w:r>
              <w:t xml:space="preserve">who is </w:t>
            </w:r>
            <w:r w:rsidR="00742618">
              <w:t xml:space="preserve">convicted of </w:t>
            </w:r>
            <w:r w:rsidR="0031495A">
              <w:t xml:space="preserve">a state jail felony offense </w:t>
            </w:r>
            <w:r>
              <w:t xml:space="preserve">and otherwise meets the requisite conditions of eligibility </w:t>
            </w:r>
            <w:r w:rsidR="0031495A">
              <w:t xml:space="preserve">to petition the court for an order of nondisclosure of criminal history record information on or after the </w:t>
            </w:r>
            <w:r>
              <w:t xml:space="preserve">second </w:t>
            </w:r>
            <w:r w:rsidR="0031495A">
              <w:t xml:space="preserve">anniversary of the date of completion of the </w:t>
            </w:r>
            <w:r>
              <w:t>person's sentence, provided the offense is not a state jail felony for the following:</w:t>
            </w:r>
          </w:p>
          <w:p w14:paraId="0980833C" w14:textId="77777777" w:rsidR="000F7716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kidnapping, unlawful restraint, and smuggling of persons offenses; </w:t>
            </w:r>
          </w:p>
          <w:p w14:paraId="22375AEF" w14:textId="77777777" w:rsidR="000F7716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sexual offenses; </w:t>
            </w:r>
          </w:p>
          <w:p w14:paraId="40A836E6" w14:textId="77777777" w:rsidR="000F7716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assaultive offenses; </w:t>
            </w:r>
          </w:p>
          <w:p w14:paraId="104EF89D" w14:textId="77777777" w:rsidR="000F7716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offenses against the family; </w:t>
            </w:r>
          </w:p>
          <w:p w14:paraId="40A45775" w14:textId="77777777" w:rsidR="000F7716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d</w:t>
            </w:r>
            <w:r>
              <w:t xml:space="preserve">isorderly conduct and related offenses; </w:t>
            </w:r>
          </w:p>
          <w:p w14:paraId="7BBBF4B9" w14:textId="77777777" w:rsidR="000F7716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public indecency offenses; </w:t>
            </w:r>
          </w:p>
          <w:p w14:paraId="74A85983" w14:textId="77777777" w:rsidR="000F7716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weapons offenses; </w:t>
            </w:r>
          </w:p>
          <w:p w14:paraId="797EDD9D" w14:textId="412CCA4A" w:rsidR="000F7716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intoxication and alcoholic beverage offenses; or </w:t>
            </w:r>
          </w:p>
          <w:p w14:paraId="6E59441C" w14:textId="08D91CB7" w:rsidR="000F7716" w:rsidRDefault="00272040" w:rsidP="00771C5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0F7716">
              <w:t>organized crime offenses.</w:t>
            </w:r>
          </w:p>
          <w:p w14:paraId="1502160E" w14:textId="77777777" w:rsidR="001E7464" w:rsidRDefault="001E7464" w:rsidP="00771C53">
            <w:pPr>
              <w:jc w:val="both"/>
            </w:pPr>
          </w:p>
          <w:p w14:paraId="0DA429C3" w14:textId="72824D44" w:rsidR="00DF0FF2" w:rsidRDefault="00272040" w:rsidP="00771C53">
            <w:pPr>
              <w:jc w:val="both"/>
            </w:pPr>
            <w:r>
              <w:t>H.B. 4362</w:t>
            </w:r>
            <w:r w:rsidR="0031495A">
              <w:t xml:space="preserve"> </w:t>
            </w:r>
            <w:r>
              <w:t xml:space="preserve">authorizes a </w:t>
            </w:r>
            <w:r w:rsidRPr="004713A6">
              <w:t xml:space="preserve">court that issues an order of nondisclosure of criminal </w:t>
            </w:r>
            <w:r w:rsidRPr="004713A6">
              <w:t>history record information</w:t>
            </w:r>
            <w:r>
              <w:t xml:space="preserve"> to </w:t>
            </w:r>
            <w:r w:rsidRPr="004713A6">
              <w:t>include in the order any offense arising out of the same transaction as the offense for which the order is sought if the other offense</w:t>
            </w:r>
            <w:r>
              <w:t xml:space="preserve"> satisfies the requirements for issuance of an order of nondisclosure of criminal history re</w:t>
            </w:r>
            <w:r>
              <w:t>cord information or has not resulted in a final conviction and is no longer pending.</w:t>
            </w:r>
          </w:p>
          <w:p w14:paraId="3492BEEC" w14:textId="77777777" w:rsidR="00DF0FF2" w:rsidRDefault="00DF0FF2" w:rsidP="00771C53">
            <w:pPr>
              <w:jc w:val="both"/>
            </w:pPr>
          </w:p>
          <w:p w14:paraId="6D9ED387" w14:textId="5283EE38" w:rsidR="00472E01" w:rsidRDefault="00272040" w:rsidP="00771C53">
            <w:pPr>
              <w:jc w:val="both"/>
            </w:pPr>
            <w:r>
              <w:t xml:space="preserve">H.B. 4362 authorizes a person who </w:t>
            </w:r>
            <w:r w:rsidRPr="008C35B7">
              <w:t xml:space="preserve">has more than one conviction for </w:t>
            </w:r>
            <w:r w:rsidR="006736E5">
              <w:t xml:space="preserve">an applicable </w:t>
            </w:r>
            <w:r w:rsidRPr="008C35B7">
              <w:t>misdemeanor or state jail felony offense</w:t>
            </w:r>
            <w:r w:rsidR="00F36551">
              <w:t>,</w:t>
            </w:r>
            <w:r>
              <w:t xml:space="preserve"> </w:t>
            </w:r>
            <w:r w:rsidRPr="00F4236B">
              <w:t xml:space="preserve">has completed each sentence imposed, including </w:t>
            </w:r>
            <w:r w:rsidRPr="00F4236B">
              <w:t>any term of confinement or pe</w:t>
            </w:r>
            <w:r>
              <w:t>r</w:t>
            </w:r>
            <w:r w:rsidRPr="00F4236B">
              <w:t>iod of community supervision imposed and payment of all fines, costs, and restitution imposed,</w:t>
            </w:r>
            <w:r>
              <w:t xml:space="preserve"> </w:t>
            </w:r>
            <w:r w:rsidR="00F36551">
              <w:t xml:space="preserve">and is not eligible for an order of nondisclosure of criminal history record information </w:t>
            </w:r>
            <w:r>
              <w:t xml:space="preserve">to </w:t>
            </w:r>
            <w:r w:rsidRPr="00F4236B">
              <w:t>petition any court that imposed at leas</w:t>
            </w:r>
            <w:r w:rsidRPr="00F4236B">
              <w:t xml:space="preserve">t one of </w:t>
            </w:r>
            <w:r w:rsidR="00CA2615">
              <w:t xml:space="preserve">the </w:t>
            </w:r>
            <w:r w:rsidRPr="00F4236B">
              <w:t xml:space="preserve">sentences for </w:t>
            </w:r>
            <w:r w:rsidR="00F36551">
              <w:t xml:space="preserve">such </w:t>
            </w:r>
            <w:r w:rsidRPr="00F4236B">
              <w:t xml:space="preserve">an order if the person </w:t>
            </w:r>
            <w:r w:rsidR="006736E5">
              <w:t>satisfies</w:t>
            </w:r>
            <w:r w:rsidR="00473CDB">
              <w:t xml:space="preserve"> the required conditions for receiving an order of nondisclosure and </w:t>
            </w:r>
            <w:r w:rsidR="00F36551">
              <w:t>the bill's requirements</w:t>
            </w:r>
            <w:r>
              <w:t>.</w:t>
            </w:r>
            <w:r w:rsidR="00F57B85">
              <w:t xml:space="preserve"> </w:t>
            </w:r>
            <w:r w:rsidR="00473CDB">
              <w:t>The bill specifies that such a</w:t>
            </w:r>
            <w:r w:rsidR="00F36551">
              <w:t>n applicable offense is</w:t>
            </w:r>
            <w:r w:rsidR="00B504AF">
              <w:t>:</w:t>
            </w:r>
            <w:r w:rsidRPr="00F4236B">
              <w:t xml:space="preserve"> </w:t>
            </w:r>
          </w:p>
          <w:p w14:paraId="468A19E2" w14:textId="5F533251" w:rsidR="00F57B85" w:rsidRDefault="00272040" w:rsidP="00771C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 w:rsidRPr="0049459E">
              <w:t>a</w:t>
            </w:r>
            <w:r w:rsidR="00B504AF">
              <w:t>ny</w:t>
            </w:r>
            <w:r w:rsidRPr="0049459E">
              <w:t xml:space="preserve"> misdemeanor</w:t>
            </w:r>
            <w:r>
              <w:t xml:space="preserve"> offense </w:t>
            </w:r>
            <w:r w:rsidR="00B504AF">
              <w:t xml:space="preserve">other than for </w:t>
            </w:r>
            <w:r w:rsidRPr="0049459E">
              <w:t>driving or operating watercraft under the influence of alcohol by minor</w:t>
            </w:r>
            <w:r>
              <w:t xml:space="preserve">, </w:t>
            </w:r>
            <w:r w:rsidRPr="0049459E">
              <w:t>driving while intoxicated</w:t>
            </w:r>
            <w:r>
              <w:t xml:space="preserve">, </w:t>
            </w:r>
            <w:r w:rsidRPr="0049459E">
              <w:t>flying while intoxicated</w:t>
            </w:r>
            <w:r>
              <w:t xml:space="preserve">, </w:t>
            </w:r>
            <w:r w:rsidRPr="0049459E">
              <w:t>boating while intoxicated</w:t>
            </w:r>
            <w:r>
              <w:t xml:space="preserve">, </w:t>
            </w:r>
            <w:r w:rsidRPr="003E3977">
              <w:t>assembling or operating an amusement ride while intoxicated</w:t>
            </w:r>
            <w:r w:rsidR="00B504AF">
              <w:t>,</w:t>
            </w:r>
            <w:r>
              <w:t xml:space="preserve"> or organized crime; or</w:t>
            </w:r>
          </w:p>
          <w:p w14:paraId="3B352393" w14:textId="7622F5A7" w:rsidR="00472E01" w:rsidRDefault="00272040" w:rsidP="00771C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</w:t>
            </w:r>
            <w:r w:rsidR="00B504AF">
              <w:t>ny</w:t>
            </w:r>
            <w:r>
              <w:t xml:space="preserve"> state </w:t>
            </w:r>
            <w:r w:rsidR="00B504AF">
              <w:t xml:space="preserve">jail </w:t>
            </w:r>
            <w:r>
              <w:t>felo</w:t>
            </w:r>
            <w:r>
              <w:t xml:space="preserve">ny offense </w:t>
            </w:r>
            <w:r w:rsidR="00B504AF">
              <w:t xml:space="preserve">other than for </w:t>
            </w:r>
            <w:r>
              <w:t>kidnapping, unlawful restraint, and smuggling of persons</w:t>
            </w:r>
            <w:r w:rsidR="00B504AF">
              <w:t xml:space="preserve"> offenses</w:t>
            </w:r>
            <w:r>
              <w:t xml:space="preserve">, sexual </w:t>
            </w:r>
            <w:r w:rsidR="00B504AF">
              <w:t xml:space="preserve">or </w:t>
            </w:r>
            <w:r>
              <w:t>assaultive offenses, offenses against the family, disorderly conduct and related offenses, public indecency</w:t>
            </w:r>
            <w:r w:rsidR="00B504AF">
              <w:t xml:space="preserve"> offenses</w:t>
            </w:r>
            <w:r>
              <w:t xml:space="preserve">, </w:t>
            </w:r>
            <w:r w:rsidR="00B504AF">
              <w:t xml:space="preserve">weapons </w:t>
            </w:r>
            <w:r>
              <w:t xml:space="preserve">offenses, intoxication and </w:t>
            </w:r>
            <w:r>
              <w:t>alcoholic beverage offenses</w:t>
            </w:r>
            <w:r w:rsidR="00B504AF">
              <w:t>,</w:t>
            </w:r>
            <w:r>
              <w:t xml:space="preserve"> and organized crime</w:t>
            </w:r>
            <w:r w:rsidR="00B504AF">
              <w:t xml:space="preserve"> offenses.</w:t>
            </w:r>
          </w:p>
          <w:p w14:paraId="1344BB34" w14:textId="6E5DCF1C" w:rsidR="00CA2615" w:rsidRDefault="00272040" w:rsidP="00771C53">
            <w:pPr>
              <w:jc w:val="both"/>
            </w:pPr>
            <w:r>
              <w:t xml:space="preserve">However, the bill limits the authority of a court to </w:t>
            </w:r>
            <w:r w:rsidRPr="006D310E">
              <w:t>issue an order of nondisclosure of criminal history record information for a misdemeanor</w:t>
            </w:r>
            <w:r>
              <w:t xml:space="preserve"> offense for kidnapping, unlawful restraint, and smuggli</w:t>
            </w:r>
            <w:r>
              <w:t xml:space="preserve">ng of persons offenses, </w:t>
            </w:r>
            <w:r w:rsidRPr="006D310E">
              <w:t xml:space="preserve">sexual </w:t>
            </w:r>
            <w:r>
              <w:t xml:space="preserve">or </w:t>
            </w:r>
            <w:r w:rsidRPr="006D310E">
              <w:t>assaultive offenses</w:t>
            </w:r>
            <w:r>
              <w:t xml:space="preserve">, </w:t>
            </w:r>
            <w:r w:rsidRPr="006D310E">
              <w:t>offenses against the family</w:t>
            </w:r>
            <w:r>
              <w:t xml:space="preserve">, </w:t>
            </w:r>
            <w:r w:rsidRPr="006D310E">
              <w:t>disorderly conduct and related offenses</w:t>
            </w:r>
            <w:r>
              <w:t xml:space="preserve">, </w:t>
            </w:r>
            <w:r w:rsidRPr="006D310E">
              <w:t>public indecency</w:t>
            </w:r>
            <w:r>
              <w:t xml:space="preserve"> offenses, or weapons offenses to a person who was placed on community supervision for the offense and completed th</w:t>
            </w:r>
            <w:r>
              <w:t>e period of community supervision imposed for the offense.</w:t>
            </w:r>
          </w:p>
          <w:p w14:paraId="5B07C2B9" w14:textId="77777777" w:rsidR="00CA2615" w:rsidRDefault="00CA2615" w:rsidP="00771C53">
            <w:pPr>
              <w:jc w:val="both"/>
            </w:pPr>
          </w:p>
          <w:p w14:paraId="00A29835" w14:textId="6503BA1C" w:rsidR="00472E01" w:rsidRDefault="00272040" w:rsidP="00771C53">
            <w:pPr>
              <w:jc w:val="both"/>
            </w:pPr>
            <w:r>
              <w:t xml:space="preserve">H.B. 4362 requires a court to </w:t>
            </w:r>
            <w:r w:rsidRPr="00F4236B">
              <w:t>issue an order prohibiting criminal justice agencies from disclosing to the public criminal history record information related to the offenses for which the person wa</w:t>
            </w:r>
            <w:r w:rsidRPr="00F4236B">
              <w:t>s convicted</w:t>
            </w:r>
            <w:r>
              <w:t xml:space="preserve"> after </w:t>
            </w:r>
            <w:r w:rsidRPr="00F4236B">
              <w:t>notice to the state, an opportunity for a hearing, and a determination that the person is entitled to file the petition and issuance of the order is in the best interest of justice</w:t>
            </w:r>
            <w:r>
              <w:t>.</w:t>
            </w:r>
          </w:p>
          <w:p w14:paraId="38E1BD45" w14:textId="77777777" w:rsidR="00472E01" w:rsidRDefault="00472E01" w:rsidP="00771C53">
            <w:pPr>
              <w:jc w:val="both"/>
            </w:pPr>
          </w:p>
          <w:p w14:paraId="4726D3C3" w14:textId="053B3F4F" w:rsidR="00472E01" w:rsidRDefault="00272040" w:rsidP="00771C53">
            <w:pPr>
              <w:jc w:val="both"/>
            </w:pPr>
            <w:r>
              <w:t>H.B. 4362</w:t>
            </w:r>
            <w:r w:rsidR="00CA2615">
              <w:t xml:space="preserve"> establishes that</w:t>
            </w:r>
            <w:r>
              <w:t xml:space="preserve"> a person </w:t>
            </w:r>
            <w:r w:rsidR="00CA2615">
              <w:t xml:space="preserve">may </w:t>
            </w:r>
            <w:r>
              <w:t>petition a cour</w:t>
            </w:r>
            <w:r>
              <w:t xml:space="preserve">t for an order of nondisclosure of criminal history record information under </w:t>
            </w:r>
            <w:r w:rsidR="00CA2615">
              <w:t>the bill</w:t>
            </w:r>
            <w:r w:rsidR="00F57B85">
              <w:t>'</w:t>
            </w:r>
            <w:r w:rsidR="00CA2615">
              <w:t xml:space="preserve">s provisions </w:t>
            </w:r>
            <w:r>
              <w:t>only on or after the following dates</w:t>
            </w:r>
            <w:r w:rsidR="00CA2615">
              <w:t>, as applicable</w:t>
            </w:r>
            <w:r>
              <w:t>:</w:t>
            </w:r>
          </w:p>
          <w:p w14:paraId="3796B58F" w14:textId="77777777" w:rsidR="00472E01" w:rsidRDefault="00272040" w:rsidP="00771C5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the third anniversary of the date of the completion of all sentences imposed if the most serious offense</w:t>
            </w:r>
            <w:r>
              <w:t xml:space="preserve"> for which the order is sought is a misdemeanor;</w:t>
            </w:r>
          </w:p>
          <w:p w14:paraId="2BC000FF" w14:textId="77777777" w:rsidR="00472E01" w:rsidRDefault="00272040" w:rsidP="00771C5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the fourth anniversary of the date of the completion of all sentences imposed if:</w:t>
            </w:r>
          </w:p>
          <w:p w14:paraId="7FF30C80" w14:textId="77777777" w:rsidR="00472E01" w:rsidRDefault="00272040" w:rsidP="00771C53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>the most serious offense for which the order is sought is a state jail felony; and</w:t>
            </w:r>
          </w:p>
          <w:p w14:paraId="2A3390D9" w14:textId="2D5CEB20" w:rsidR="00472E01" w:rsidRDefault="00272040" w:rsidP="00771C53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>the person's last sentence included a peri</w:t>
            </w:r>
            <w:r>
              <w:t>od of community supervision that the person completed; or</w:t>
            </w:r>
          </w:p>
          <w:p w14:paraId="60B4F58D" w14:textId="5BBDC073" w:rsidR="00CA2615" w:rsidRDefault="00272040" w:rsidP="00771C5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if neither date applies, the fifth anniversary of the date of the completion of all sentences imposed.</w:t>
            </w:r>
          </w:p>
          <w:p w14:paraId="028B79D2" w14:textId="346E7868" w:rsidR="008423E4" w:rsidRPr="00835628" w:rsidRDefault="008423E4" w:rsidP="00771C53">
            <w:pPr>
              <w:jc w:val="both"/>
              <w:rPr>
                <w:b/>
              </w:rPr>
            </w:pPr>
          </w:p>
        </w:tc>
      </w:tr>
      <w:tr w:rsidR="005E2F1E" w14:paraId="50770E8C" w14:textId="77777777" w:rsidTr="00345119">
        <w:tc>
          <w:tcPr>
            <w:tcW w:w="9576" w:type="dxa"/>
          </w:tcPr>
          <w:p w14:paraId="4754F20B" w14:textId="7269981B" w:rsidR="008423E4" w:rsidRPr="00A8133F" w:rsidRDefault="00272040" w:rsidP="00771C5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</w:p>
          <w:p w14:paraId="20D658C1" w14:textId="77777777" w:rsidR="008423E4" w:rsidRDefault="008423E4" w:rsidP="00771C53"/>
          <w:p w14:paraId="584454D3" w14:textId="429A6D67" w:rsidR="008423E4" w:rsidRPr="00233FDB" w:rsidRDefault="00272040" w:rsidP="00771C5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02760048" w14:textId="77777777" w:rsidR="008423E4" w:rsidRPr="00BE0E75" w:rsidRDefault="008423E4" w:rsidP="00771C53">
      <w:pPr>
        <w:jc w:val="both"/>
        <w:rPr>
          <w:rFonts w:ascii="Arial" w:hAnsi="Arial"/>
          <w:sz w:val="16"/>
          <w:szCs w:val="16"/>
        </w:rPr>
      </w:pPr>
    </w:p>
    <w:p w14:paraId="03F58175" w14:textId="77777777" w:rsidR="004108C3" w:rsidRPr="008423E4" w:rsidRDefault="004108C3" w:rsidP="00771C5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0A80" w14:textId="77777777" w:rsidR="00000000" w:rsidRDefault="00272040">
      <w:r>
        <w:separator/>
      </w:r>
    </w:p>
  </w:endnote>
  <w:endnote w:type="continuationSeparator" w:id="0">
    <w:p w14:paraId="6871A84B" w14:textId="77777777" w:rsidR="00000000" w:rsidRDefault="002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588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E2F1E" w14:paraId="559353F7" w14:textId="77777777" w:rsidTr="009C1E9A">
      <w:trPr>
        <w:cantSplit/>
      </w:trPr>
      <w:tc>
        <w:tcPr>
          <w:tcW w:w="0" w:type="pct"/>
        </w:tcPr>
        <w:p w14:paraId="274533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CE71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E656B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9931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109E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2F1E" w14:paraId="4070E9BC" w14:textId="77777777" w:rsidTr="009C1E9A">
      <w:trPr>
        <w:cantSplit/>
      </w:trPr>
      <w:tc>
        <w:tcPr>
          <w:tcW w:w="0" w:type="pct"/>
        </w:tcPr>
        <w:p w14:paraId="100901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858C46" w14:textId="77777777" w:rsidR="00EC379B" w:rsidRPr="009C1E9A" w:rsidRDefault="002720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26543-D</w:t>
          </w:r>
        </w:p>
      </w:tc>
      <w:tc>
        <w:tcPr>
          <w:tcW w:w="2453" w:type="pct"/>
        </w:tcPr>
        <w:p w14:paraId="52632435" w14:textId="198CDC83" w:rsidR="00EC379B" w:rsidRDefault="002720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25F82">
            <w:t>23.118.560</w:t>
          </w:r>
          <w:r>
            <w:fldChar w:fldCharType="end"/>
          </w:r>
        </w:p>
      </w:tc>
    </w:tr>
    <w:tr w:rsidR="005E2F1E" w14:paraId="4CB93AF0" w14:textId="77777777" w:rsidTr="009C1E9A">
      <w:trPr>
        <w:cantSplit/>
      </w:trPr>
      <w:tc>
        <w:tcPr>
          <w:tcW w:w="0" w:type="pct"/>
        </w:tcPr>
        <w:p w14:paraId="46C39B0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91F2B3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BC8D3D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748F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2F1E" w14:paraId="2F95422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916E785" w14:textId="77777777" w:rsidR="00EC379B" w:rsidRDefault="002720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BCE4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18CB4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70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2D43" w14:textId="77777777" w:rsidR="00000000" w:rsidRDefault="00272040">
      <w:r>
        <w:separator/>
      </w:r>
    </w:p>
  </w:footnote>
  <w:footnote w:type="continuationSeparator" w:id="0">
    <w:p w14:paraId="1C56106D" w14:textId="77777777" w:rsidR="00000000" w:rsidRDefault="0027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16E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46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53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64D"/>
    <w:multiLevelType w:val="hybridMultilevel"/>
    <w:tmpl w:val="53D68EFE"/>
    <w:lvl w:ilvl="0" w:tplc="973C6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0F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4C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05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61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62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2C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86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08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17BDD"/>
    <w:multiLevelType w:val="hybridMultilevel"/>
    <w:tmpl w:val="64769730"/>
    <w:lvl w:ilvl="0" w:tplc="7A185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029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05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E8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8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8A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87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A5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C9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B5441"/>
    <w:multiLevelType w:val="hybridMultilevel"/>
    <w:tmpl w:val="F36630AC"/>
    <w:lvl w:ilvl="0" w:tplc="87621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8C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E2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2B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21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CE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6E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AF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0C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A33FA"/>
    <w:multiLevelType w:val="hybridMultilevel"/>
    <w:tmpl w:val="89260DFC"/>
    <w:lvl w:ilvl="0" w:tplc="F86E2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642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A7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E3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4D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AD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4A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0D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E8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361E"/>
    <w:multiLevelType w:val="hybridMultilevel"/>
    <w:tmpl w:val="DC180E98"/>
    <w:lvl w:ilvl="0" w:tplc="71B0E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7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6D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80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A5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8D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02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C8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29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50C58"/>
    <w:multiLevelType w:val="hybridMultilevel"/>
    <w:tmpl w:val="8A5E989C"/>
    <w:lvl w:ilvl="0" w:tplc="7954F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EA6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CC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E4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82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AF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45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6B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A0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C00BF"/>
    <w:multiLevelType w:val="hybridMultilevel"/>
    <w:tmpl w:val="2AC04CCA"/>
    <w:lvl w:ilvl="0" w:tplc="1B1EBAB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F6768FD6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9B883C70" w:tentative="1">
      <w:start w:val="1"/>
      <w:numFmt w:val="lowerRoman"/>
      <w:lvlText w:val="%3."/>
      <w:lvlJc w:val="right"/>
      <w:pPr>
        <w:ind w:left="2160" w:hanging="180"/>
      </w:pPr>
    </w:lvl>
    <w:lvl w:ilvl="3" w:tplc="1868ABB8" w:tentative="1">
      <w:start w:val="1"/>
      <w:numFmt w:val="decimal"/>
      <w:lvlText w:val="%4."/>
      <w:lvlJc w:val="left"/>
      <w:pPr>
        <w:ind w:left="2880" w:hanging="360"/>
      </w:pPr>
    </w:lvl>
    <w:lvl w:ilvl="4" w:tplc="3112EE9C" w:tentative="1">
      <w:start w:val="1"/>
      <w:numFmt w:val="lowerLetter"/>
      <w:lvlText w:val="%5."/>
      <w:lvlJc w:val="left"/>
      <w:pPr>
        <w:ind w:left="3600" w:hanging="360"/>
      </w:pPr>
    </w:lvl>
    <w:lvl w:ilvl="5" w:tplc="942E2A4C" w:tentative="1">
      <w:start w:val="1"/>
      <w:numFmt w:val="lowerRoman"/>
      <w:lvlText w:val="%6."/>
      <w:lvlJc w:val="right"/>
      <w:pPr>
        <w:ind w:left="4320" w:hanging="180"/>
      </w:pPr>
    </w:lvl>
    <w:lvl w:ilvl="6" w:tplc="FF528266" w:tentative="1">
      <w:start w:val="1"/>
      <w:numFmt w:val="decimal"/>
      <w:lvlText w:val="%7."/>
      <w:lvlJc w:val="left"/>
      <w:pPr>
        <w:ind w:left="5040" w:hanging="360"/>
      </w:pPr>
    </w:lvl>
    <w:lvl w:ilvl="7" w:tplc="06147D72" w:tentative="1">
      <w:start w:val="1"/>
      <w:numFmt w:val="lowerLetter"/>
      <w:lvlText w:val="%8."/>
      <w:lvlJc w:val="left"/>
      <w:pPr>
        <w:ind w:left="5760" w:hanging="360"/>
      </w:pPr>
    </w:lvl>
    <w:lvl w:ilvl="8" w:tplc="0AEC43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E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0BD7"/>
    <w:rsid w:val="000F1392"/>
    <w:rsid w:val="000F18A2"/>
    <w:rsid w:val="000F2142"/>
    <w:rsid w:val="000F2A7F"/>
    <w:rsid w:val="000F3DBD"/>
    <w:rsid w:val="000F5843"/>
    <w:rsid w:val="000F6A06"/>
    <w:rsid w:val="000F771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0B7"/>
    <w:rsid w:val="001312BB"/>
    <w:rsid w:val="00137D90"/>
    <w:rsid w:val="00141FB6"/>
    <w:rsid w:val="00142F8E"/>
    <w:rsid w:val="00143C8B"/>
    <w:rsid w:val="00147530"/>
    <w:rsid w:val="00150A11"/>
    <w:rsid w:val="0015331F"/>
    <w:rsid w:val="0015401A"/>
    <w:rsid w:val="00156AB2"/>
    <w:rsid w:val="00160402"/>
    <w:rsid w:val="00160571"/>
    <w:rsid w:val="00161E93"/>
    <w:rsid w:val="00162C7A"/>
    <w:rsid w:val="00162DAE"/>
    <w:rsid w:val="0016371C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464"/>
    <w:rsid w:val="001F371A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040"/>
    <w:rsid w:val="002734D6"/>
    <w:rsid w:val="00274C45"/>
    <w:rsid w:val="00275109"/>
    <w:rsid w:val="00275BEE"/>
    <w:rsid w:val="00277434"/>
    <w:rsid w:val="00280123"/>
    <w:rsid w:val="00281343"/>
    <w:rsid w:val="00281883"/>
    <w:rsid w:val="00285DC2"/>
    <w:rsid w:val="002874E3"/>
    <w:rsid w:val="00287656"/>
    <w:rsid w:val="00291518"/>
    <w:rsid w:val="00296FF0"/>
    <w:rsid w:val="00297A82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5DA"/>
    <w:rsid w:val="00313DFE"/>
    <w:rsid w:val="003143B2"/>
    <w:rsid w:val="00314821"/>
    <w:rsid w:val="0031483F"/>
    <w:rsid w:val="0031495A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DEF"/>
    <w:rsid w:val="003D726D"/>
    <w:rsid w:val="003E0875"/>
    <w:rsid w:val="003E0BB8"/>
    <w:rsid w:val="003E3977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79F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091"/>
    <w:rsid w:val="00462B3D"/>
    <w:rsid w:val="004713A6"/>
    <w:rsid w:val="00472E01"/>
    <w:rsid w:val="00473CDB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59E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54A"/>
    <w:rsid w:val="004C3718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DED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3EB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2F1E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4AB"/>
    <w:rsid w:val="0066485B"/>
    <w:rsid w:val="0067036E"/>
    <w:rsid w:val="00671693"/>
    <w:rsid w:val="006736E5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AA6"/>
    <w:rsid w:val="006C4709"/>
    <w:rsid w:val="006D3005"/>
    <w:rsid w:val="006D310E"/>
    <w:rsid w:val="006D504F"/>
    <w:rsid w:val="006E0CAC"/>
    <w:rsid w:val="006E1CFB"/>
    <w:rsid w:val="006E1F1B"/>
    <w:rsid w:val="006E1F94"/>
    <w:rsid w:val="006E26C1"/>
    <w:rsid w:val="006E30A8"/>
    <w:rsid w:val="006E45B0"/>
    <w:rsid w:val="006E5692"/>
    <w:rsid w:val="006E73ED"/>
    <w:rsid w:val="006F365D"/>
    <w:rsid w:val="006F4BB0"/>
    <w:rsid w:val="007031BD"/>
    <w:rsid w:val="00703E80"/>
    <w:rsid w:val="0070440D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397"/>
    <w:rsid w:val="00734B03"/>
    <w:rsid w:val="00735B9D"/>
    <w:rsid w:val="007360C0"/>
    <w:rsid w:val="007365A5"/>
    <w:rsid w:val="00736FB0"/>
    <w:rsid w:val="007404BC"/>
    <w:rsid w:val="00740D13"/>
    <w:rsid w:val="00740F5F"/>
    <w:rsid w:val="00742618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C53"/>
    <w:rsid w:val="0077684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483"/>
    <w:rsid w:val="008B7785"/>
    <w:rsid w:val="008B79F2"/>
    <w:rsid w:val="008C0809"/>
    <w:rsid w:val="008C132C"/>
    <w:rsid w:val="008C35B7"/>
    <w:rsid w:val="008C3FD0"/>
    <w:rsid w:val="008D27A5"/>
    <w:rsid w:val="008D2AAB"/>
    <w:rsid w:val="008D309C"/>
    <w:rsid w:val="008D58F9"/>
    <w:rsid w:val="008D7427"/>
    <w:rsid w:val="008E2E56"/>
    <w:rsid w:val="008E3338"/>
    <w:rsid w:val="008E3410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740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3E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0E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92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3DF"/>
    <w:rsid w:val="00AF48B4"/>
    <w:rsid w:val="00AF4923"/>
    <w:rsid w:val="00AF7C74"/>
    <w:rsid w:val="00B000AF"/>
    <w:rsid w:val="00B04E79"/>
    <w:rsid w:val="00B0549B"/>
    <w:rsid w:val="00B07488"/>
    <w:rsid w:val="00B075A2"/>
    <w:rsid w:val="00B10DD2"/>
    <w:rsid w:val="00B115DC"/>
    <w:rsid w:val="00B11952"/>
    <w:rsid w:val="00B12FED"/>
    <w:rsid w:val="00B149AC"/>
    <w:rsid w:val="00B14BD2"/>
    <w:rsid w:val="00B1557F"/>
    <w:rsid w:val="00B1668D"/>
    <w:rsid w:val="00B17981"/>
    <w:rsid w:val="00B227C7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4AF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88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70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15"/>
    <w:rsid w:val="00CA26EF"/>
    <w:rsid w:val="00CA3608"/>
    <w:rsid w:val="00CA4CA0"/>
    <w:rsid w:val="00CA4CF9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3E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B82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9AC"/>
    <w:rsid w:val="00DE618B"/>
    <w:rsid w:val="00DE6EC2"/>
    <w:rsid w:val="00DF0834"/>
    <w:rsid w:val="00DF0873"/>
    <w:rsid w:val="00DF0FF2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6DE3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F82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5A8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3D6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027"/>
    <w:rsid w:val="00EE5A49"/>
    <w:rsid w:val="00EE664B"/>
    <w:rsid w:val="00EF10BA"/>
    <w:rsid w:val="00EF1738"/>
    <w:rsid w:val="00EF2BAF"/>
    <w:rsid w:val="00EF3B8F"/>
    <w:rsid w:val="00EF43DA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551"/>
    <w:rsid w:val="00F36FE0"/>
    <w:rsid w:val="00F37EA8"/>
    <w:rsid w:val="00F40B14"/>
    <w:rsid w:val="00F41186"/>
    <w:rsid w:val="00F41EEF"/>
    <w:rsid w:val="00F41FAC"/>
    <w:rsid w:val="00F420C6"/>
    <w:rsid w:val="00F4236B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B85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DEB1C1-839A-4DCB-A8FD-E75DA61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C63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6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63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6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63EB"/>
    <w:rPr>
      <w:b/>
      <w:bCs/>
    </w:rPr>
  </w:style>
  <w:style w:type="paragraph" w:styleId="ListParagraph">
    <w:name w:val="List Paragraph"/>
    <w:basedOn w:val="Normal"/>
    <w:uiPriority w:val="34"/>
    <w:qFormat/>
    <w:rsid w:val="00462091"/>
    <w:pPr>
      <w:ind w:left="720"/>
      <w:contextualSpacing/>
    </w:pPr>
  </w:style>
  <w:style w:type="paragraph" w:styleId="Revision">
    <w:name w:val="Revision"/>
    <w:hidden/>
    <w:uiPriority w:val="99"/>
    <w:semiHidden/>
    <w:rsid w:val="0077684F"/>
    <w:rPr>
      <w:sz w:val="24"/>
      <w:szCs w:val="24"/>
    </w:rPr>
  </w:style>
  <w:style w:type="character" w:styleId="Hyperlink">
    <w:name w:val="Hyperlink"/>
    <w:basedOn w:val="DefaultParagraphFont"/>
    <w:unhideWhenUsed/>
    <w:rsid w:val="007768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7574</Characters>
  <Application>Microsoft Office Word</Application>
  <DocSecurity>4</DocSecurity>
  <Lines>158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HB04362 (Committee Report (Unamended))</vt:lpstr>
    </vt:vector>
  </TitlesOfParts>
  <Company>State of Texas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26543</dc:subject>
  <dc:creator>State of Texas</dc:creator>
  <dc:description>HB 4362 by Johnson, Ann-(H)Corrections</dc:description>
  <cp:lastModifiedBy>Thomas Weis</cp:lastModifiedBy>
  <cp:revision>2</cp:revision>
  <cp:lastPrinted>2003-11-26T17:21:00Z</cp:lastPrinted>
  <dcterms:created xsi:type="dcterms:W3CDTF">2023-05-03T23:57:00Z</dcterms:created>
  <dcterms:modified xsi:type="dcterms:W3CDTF">2023-05-03T23:57:00Z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23.118.560</vt:lpwstr>
  </property>
</Properties>
</file>