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4983" w14:paraId="326CDD73" w14:textId="77777777" w:rsidTr="00345119">
        <w:tc>
          <w:tcPr>
            <w:tcW w:w="9576" w:type="dxa"/>
            <w:noWrap/>
          </w:tcPr>
          <w:p w14:paraId="7C53B5A8" w14:textId="77777777" w:rsidR="008423E4" w:rsidRPr="0022177D" w:rsidRDefault="002014CB" w:rsidP="00EF4C8C">
            <w:pPr>
              <w:pStyle w:val="Heading1"/>
            </w:pPr>
            <w:r w:rsidRPr="00631897">
              <w:t>BILL ANALYSIS</w:t>
            </w:r>
          </w:p>
        </w:tc>
      </w:tr>
    </w:tbl>
    <w:p w14:paraId="15786284" w14:textId="77777777" w:rsidR="008423E4" w:rsidRPr="0022177D" w:rsidRDefault="008423E4" w:rsidP="00EF4C8C">
      <w:pPr>
        <w:jc w:val="center"/>
      </w:pPr>
    </w:p>
    <w:p w14:paraId="46681E58" w14:textId="77777777" w:rsidR="008423E4" w:rsidRPr="00B31F0E" w:rsidRDefault="008423E4" w:rsidP="00EF4C8C"/>
    <w:p w14:paraId="2360FF3F" w14:textId="77777777" w:rsidR="008423E4" w:rsidRPr="00742794" w:rsidRDefault="008423E4" w:rsidP="00EF4C8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4983" w14:paraId="6116DEE0" w14:textId="77777777" w:rsidTr="00345119">
        <w:tc>
          <w:tcPr>
            <w:tcW w:w="9576" w:type="dxa"/>
          </w:tcPr>
          <w:p w14:paraId="5B2CCF3B" w14:textId="77777777" w:rsidR="008423E4" w:rsidRPr="00861995" w:rsidRDefault="002014CB" w:rsidP="00EF4C8C">
            <w:pPr>
              <w:jc w:val="right"/>
            </w:pPr>
            <w:r>
              <w:t>H.B. 4398</w:t>
            </w:r>
          </w:p>
        </w:tc>
      </w:tr>
      <w:tr w:rsidR="00204983" w14:paraId="21C1ADB6" w14:textId="77777777" w:rsidTr="00345119">
        <w:tc>
          <w:tcPr>
            <w:tcW w:w="9576" w:type="dxa"/>
          </w:tcPr>
          <w:p w14:paraId="45712C6A" w14:textId="77777777" w:rsidR="008423E4" w:rsidRPr="00861995" w:rsidRDefault="002014CB" w:rsidP="00EF4C8C">
            <w:pPr>
              <w:jc w:val="right"/>
            </w:pPr>
            <w:r>
              <w:t xml:space="preserve">By: </w:t>
            </w:r>
            <w:r w:rsidR="0047424E">
              <w:t>Kitzman</w:t>
            </w:r>
          </w:p>
        </w:tc>
      </w:tr>
      <w:tr w:rsidR="00204983" w14:paraId="78604347" w14:textId="77777777" w:rsidTr="00345119">
        <w:tc>
          <w:tcPr>
            <w:tcW w:w="9576" w:type="dxa"/>
          </w:tcPr>
          <w:p w14:paraId="1E31D25F" w14:textId="77777777" w:rsidR="008423E4" w:rsidRPr="00861995" w:rsidRDefault="002014CB" w:rsidP="00EF4C8C">
            <w:pPr>
              <w:jc w:val="right"/>
            </w:pPr>
            <w:r>
              <w:t>Criminal Jurisprudence</w:t>
            </w:r>
          </w:p>
        </w:tc>
      </w:tr>
      <w:tr w:rsidR="00204983" w14:paraId="0310281D" w14:textId="77777777" w:rsidTr="00345119">
        <w:tc>
          <w:tcPr>
            <w:tcW w:w="9576" w:type="dxa"/>
          </w:tcPr>
          <w:p w14:paraId="2001E08C" w14:textId="77777777" w:rsidR="008423E4" w:rsidRDefault="002014CB" w:rsidP="00EF4C8C">
            <w:pPr>
              <w:jc w:val="right"/>
            </w:pPr>
            <w:r>
              <w:t>Committee Report (Unamended)</w:t>
            </w:r>
          </w:p>
        </w:tc>
      </w:tr>
    </w:tbl>
    <w:p w14:paraId="1DDF9E6E" w14:textId="77777777" w:rsidR="008423E4" w:rsidRDefault="008423E4" w:rsidP="00EF4C8C">
      <w:pPr>
        <w:tabs>
          <w:tab w:val="right" w:pos="9360"/>
        </w:tabs>
      </w:pPr>
    </w:p>
    <w:p w14:paraId="26CD96CA" w14:textId="77777777" w:rsidR="008423E4" w:rsidRDefault="008423E4" w:rsidP="00EF4C8C"/>
    <w:p w14:paraId="381E9009" w14:textId="77777777" w:rsidR="008423E4" w:rsidRDefault="008423E4" w:rsidP="00EF4C8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4983" w14:paraId="5C995F3D" w14:textId="77777777" w:rsidTr="00345119">
        <w:tc>
          <w:tcPr>
            <w:tcW w:w="9576" w:type="dxa"/>
          </w:tcPr>
          <w:p w14:paraId="07887C25" w14:textId="77777777" w:rsidR="008423E4" w:rsidRPr="00A8133F" w:rsidRDefault="002014CB" w:rsidP="00EF4C8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EAEC1B" w14:textId="77777777" w:rsidR="00C72F1D" w:rsidRDefault="00C72F1D" w:rsidP="00EF4C8C">
            <w:pPr>
              <w:pStyle w:val="Header"/>
              <w:jc w:val="both"/>
            </w:pPr>
          </w:p>
          <w:p w14:paraId="571EB207" w14:textId="0F3C6C94" w:rsidR="008423E4" w:rsidRDefault="002014CB" w:rsidP="00EF4C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</w:t>
            </w:r>
            <w:r w:rsidR="000F18BD">
              <w:t xml:space="preserve">is a need </w:t>
            </w:r>
            <w:r>
              <w:t>for a centralized office to oversee personal bond orders imposed on defendants for bail</w:t>
            </w:r>
            <w:r w:rsidR="000F18BD">
              <w:t xml:space="preserve"> b</w:t>
            </w:r>
            <w:r>
              <w:t xml:space="preserve">ecause many county </w:t>
            </w:r>
            <w:r>
              <w:t>magistrates and judges do not have access to these orders</w:t>
            </w:r>
            <w:r w:rsidR="000F18BD">
              <w:t xml:space="preserve"> and are therefore </w:t>
            </w:r>
            <w:r>
              <w:t xml:space="preserve">unable to enforce certain bond conditions. H.B. </w:t>
            </w:r>
            <w:r w:rsidR="001D2CD1">
              <w:t xml:space="preserve">4398 </w:t>
            </w:r>
            <w:r>
              <w:t>seeks to address this issue by providing for the authority of a county or judicial district to establish a personal bond and pr</w:t>
            </w:r>
            <w:r>
              <w:t>etrial supervision</w:t>
            </w:r>
            <w:r w:rsidR="00A133D4">
              <w:t xml:space="preserve"> office</w:t>
            </w:r>
            <w:r>
              <w:t>.</w:t>
            </w:r>
          </w:p>
          <w:p w14:paraId="4FA0884A" w14:textId="77777777" w:rsidR="008423E4" w:rsidRPr="00E26B13" w:rsidRDefault="008423E4" w:rsidP="00EF4C8C">
            <w:pPr>
              <w:rPr>
                <w:b/>
              </w:rPr>
            </w:pPr>
          </w:p>
        </w:tc>
      </w:tr>
      <w:tr w:rsidR="00204983" w14:paraId="196BCD6C" w14:textId="77777777" w:rsidTr="00345119">
        <w:tc>
          <w:tcPr>
            <w:tcW w:w="9576" w:type="dxa"/>
          </w:tcPr>
          <w:p w14:paraId="02E797A2" w14:textId="77777777" w:rsidR="0017725B" w:rsidRDefault="002014CB" w:rsidP="00EF4C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B0C79E" w14:textId="77777777" w:rsidR="0017725B" w:rsidRDefault="0017725B" w:rsidP="00EF4C8C">
            <w:pPr>
              <w:rPr>
                <w:b/>
                <w:u w:val="single"/>
              </w:rPr>
            </w:pPr>
          </w:p>
          <w:p w14:paraId="16E8C23E" w14:textId="77777777" w:rsidR="0017725B" w:rsidRDefault="002014CB" w:rsidP="00EF4C8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</w:t>
            </w:r>
            <w:r>
              <w:t>a person for community supervision, parole, or mandatory supervision.</w:t>
            </w:r>
          </w:p>
          <w:p w14:paraId="788174D3" w14:textId="0EACD15E" w:rsidR="00EF4C8C" w:rsidRPr="0017725B" w:rsidRDefault="00EF4C8C" w:rsidP="00EF4C8C">
            <w:pPr>
              <w:jc w:val="both"/>
              <w:rPr>
                <w:b/>
                <w:u w:val="single"/>
              </w:rPr>
            </w:pPr>
          </w:p>
        </w:tc>
      </w:tr>
      <w:tr w:rsidR="00204983" w14:paraId="7565078E" w14:textId="77777777" w:rsidTr="00345119">
        <w:tc>
          <w:tcPr>
            <w:tcW w:w="9576" w:type="dxa"/>
          </w:tcPr>
          <w:p w14:paraId="57B46AFF" w14:textId="77777777" w:rsidR="008423E4" w:rsidRPr="00A8133F" w:rsidRDefault="002014CB" w:rsidP="00EF4C8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798C68" w14:textId="77777777" w:rsidR="008423E4" w:rsidRDefault="008423E4" w:rsidP="00EF4C8C"/>
          <w:p w14:paraId="02CD07B1" w14:textId="77777777" w:rsidR="008423E4" w:rsidRDefault="002014CB" w:rsidP="00EF4C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42B1F85" w14:textId="3A4EF9AC" w:rsidR="00EF4C8C" w:rsidRPr="00E21FDC" w:rsidRDefault="00EF4C8C" w:rsidP="00EF4C8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04983" w14:paraId="70B4BDEE" w14:textId="77777777" w:rsidTr="00345119">
        <w:tc>
          <w:tcPr>
            <w:tcW w:w="9576" w:type="dxa"/>
          </w:tcPr>
          <w:p w14:paraId="3FDFD569" w14:textId="686190F3" w:rsidR="008423E4" w:rsidRDefault="002014CB" w:rsidP="00EF4C8C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0E2193">
              <w:rPr>
                <w:b/>
              </w:rPr>
              <w:t xml:space="preserve"> </w:t>
            </w:r>
            <w:r w:rsidR="000E167A">
              <w:rPr>
                <w:b/>
              </w:rPr>
              <w:t xml:space="preserve"> </w:t>
            </w:r>
          </w:p>
          <w:p w14:paraId="0202A3B5" w14:textId="77777777" w:rsidR="00EF4C8C" w:rsidRPr="00A8133F" w:rsidRDefault="00EF4C8C" w:rsidP="00EF4C8C">
            <w:pPr>
              <w:jc w:val="both"/>
              <w:rPr>
                <w:b/>
              </w:rPr>
            </w:pPr>
          </w:p>
          <w:p w14:paraId="4B14208F" w14:textId="26F025DC" w:rsidR="00751CC2" w:rsidRDefault="002014CB" w:rsidP="00EF4C8C">
            <w:pPr>
              <w:jc w:val="both"/>
            </w:pPr>
            <w:r>
              <w:t xml:space="preserve">H.B. 4398 </w:t>
            </w:r>
            <w:r w:rsidR="00A320F7">
              <w:t>amends the Code of Criminal Procedure to</w:t>
            </w:r>
            <w:r w:rsidR="00134171">
              <w:t xml:space="preserve"> </w:t>
            </w:r>
            <w:r w:rsidR="007018F0">
              <w:t>authorize a county or judicial district with jurisdiction in more than one county to establish a personal bond and pretrial supervision office with applicable commissioners court approval</w:t>
            </w:r>
            <w:r>
              <w:t xml:space="preserve"> and to</w:t>
            </w:r>
            <w:r w:rsidR="007018F0">
              <w:t xml:space="preserve"> </w:t>
            </w:r>
            <w:r w:rsidR="00134171">
              <w:t xml:space="preserve">make </w:t>
            </w:r>
            <w:r w:rsidR="007018F0">
              <w:t xml:space="preserve">statutory </w:t>
            </w:r>
            <w:r w:rsidR="00134171">
              <w:t xml:space="preserve">provisions </w:t>
            </w:r>
            <w:r w:rsidR="007018F0">
              <w:t>relating to</w:t>
            </w:r>
            <w:r w:rsidR="00134171">
              <w:t xml:space="preserve"> the establishment, administration, and </w:t>
            </w:r>
            <w:r w:rsidR="00B87E6F">
              <w:t xml:space="preserve">oversight of a personal bond office applicable </w:t>
            </w:r>
            <w:r w:rsidR="007018F0">
              <w:t xml:space="preserve">also with respect </w:t>
            </w:r>
            <w:r w:rsidR="00B87E6F">
              <w:t xml:space="preserve">to a </w:t>
            </w:r>
            <w:r w:rsidR="00B87E6F" w:rsidRPr="00B87E6F">
              <w:t>personal bond and pretrial supervision office</w:t>
            </w:r>
            <w:r w:rsidR="00B87E6F">
              <w:t xml:space="preserve">. </w:t>
            </w:r>
          </w:p>
          <w:p w14:paraId="7270C255" w14:textId="77777777" w:rsidR="00751CC2" w:rsidRDefault="00751CC2" w:rsidP="00EF4C8C">
            <w:pPr>
              <w:jc w:val="both"/>
            </w:pPr>
          </w:p>
          <w:p w14:paraId="5CC81ABA" w14:textId="4029BAC9" w:rsidR="00CE4B56" w:rsidRDefault="002014CB" w:rsidP="00EF4C8C">
            <w:pPr>
              <w:jc w:val="both"/>
            </w:pPr>
            <w:r>
              <w:t>H.B. 4398</w:t>
            </w:r>
            <w:r w:rsidR="00A320F7">
              <w:t xml:space="preserve"> authorize</w:t>
            </w:r>
            <w:r w:rsidR="00B87E6F">
              <w:t>s</w:t>
            </w:r>
            <w:r w:rsidR="00A320F7">
              <w:t xml:space="preserve"> a </w:t>
            </w:r>
            <w:r w:rsidR="00A320F7" w:rsidRPr="00A320F7">
              <w:t xml:space="preserve">commissioners court of a county that establishes a personal bond and pretrial supervision office or the district and county judges of a judicial district that establish </w:t>
            </w:r>
            <w:r w:rsidR="00080DE1">
              <w:t>such an</w:t>
            </w:r>
            <w:r w:rsidR="00A320F7" w:rsidRPr="00A320F7">
              <w:t xml:space="preserve"> office</w:t>
            </w:r>
            <w:r w:rsidR="00A320F7">
              <w:t xml:space="preserve"> to </w:t>
            </w:r>
            <w:r w:rsidR="00A320F7" w:rsidRPr="00A320F7">
              <w:t>direct the office to provide the pretrial services</w:t>
            </w:r>
            <w:r w:rsidR="00A320F7">
              <w:t xml:space="preserve"> a</w:t>
            </w:r>
            <w:r w:rsidR="00A320F7" w:rsidRPr="00A320F7">
              <w:t xml:space="preserve"> community supervision and corrections department</w:t>
            </w:r>
            <w:r w:rsidR="001D2CD1">
              <w:t xml:space="preserve"> may provide under applicable Government Code provisions</w:t>
            </w:r>
            <w:r>
              <w:t xml:space="preserve">. The bill authorizes programs operated by </w:t>
            </w:r>
            <w:r w:rsidR="00080DE1">
              <w:t>the</w:t>
            </w:r>
            <w:r w:rsidRPr="00A320F7">
              <w:t xml:space="preserve"> office</w:t>
            </w:r>
            <w:r>
              <w:t xml:space="preserve"> to </w:t>
            </w:r>
            <w:r w:rsidRPr="00CE4B56">
              <w:t>include reasonable conditions and monitoring related to the purpose of the programs, including testing for controlled substances and</w:t>
            </w:r>
            <w:r w:rsidRPr="00CE4B56">
              <w:t xml:space="preserve"> alcohol use</w:t>
            </w:r>
            <w:r w:rsidR="00080DE1">
              <w:t>. However, i</w:t>
            </w:r>
            <w:r>
              <w:t xml:space="preserve">f </w:t>
            </w:r>
            <w:r w:rsidR="00080DE1">
              <w:t xml:space="preserve">this </w:t>
            </w:r>
            <w:r>
              <w:t>authorization conflict</w:t>
            </w:r>
            <w:r w:rsidR="00080DE1">
              <w:t>s</w:t>
            </w:r>
            <w:r>
              <w:t xml:space="preserve"> with </w:t>
            </w:r>
            <w:r w:rsidRPr="00CE4B56">
              <w:t>a more specific provision of another law</w:t>
            </w:r>
            <w:r w:rsidR="00080DE1">
              <w:t>, the other law prevails</w:t>
            </w:r>
            <w:r>
              <w:t xml:space="preserve">. These provisions expressly do not apply to </w:t>
            </w:r>
            <w:r w:rsidRPr="00CE4B56">
              <w:t>a personal bond and pretrial supervision office that on January 1, 1995</w:t>
            </w:r>
            <w:r w:rsidR="00736AD9">
              <w:t>,</w:t>
            </w:r>
            <w:r w:rsidRPr="00CE4B56">
              <w:t xml:space="preserve"> was operated b</w:t>
            </w:r>
            <w:r w:rsidRPr="00CE4B56">
              <w:t>y a community corrections and supervision department.</w:t>
            </w:r>
          </w:p>
          <w:p w14:paraId="02F49A9B" w14:textId="77777777" w:rsidR="00FE325A" w:rsidRDefault="00FE325A" w:rsidP="00EF4C8C">
            <w:pPr>
              <w:jc w:val="both"/>
            </w:pPr>
          </w:p>
          <w:p w14:paraId="0D5C0BC1" w14:textId="6450F967" w:rsidR="00FE325A" w:rsidRDefault="002014CB" w:rsidP="00EF4C8C">
            <w:pPr>
              <w:jc w:val="both"/>
            </w:pPr>
            <w:r>
              <w:t xml:space="preserve">H.B. 4398 authorizes applicable county commissioners courts and </w:t>
            </w:r>
            <w:r w:rsidR="00F63EC2">
              <w:t>district and county judges</w:t>
            </w:r>
            <w:r>
              <w:t xml:space="preserve">, </w:t>
            </w:r>
            <w:r w:rsidRPr="00FE325A">
              <w:t>as part of the court's or the judges' duties related to pretrial services,</w:t>
            </w:r>
            <w:r>
              <w:t xml:space="preserve"> to</w:t>
            </w:r>
            <w:r w:rsidRPr="00FE325A">
              <w:t xml:space="preserve"> direct the office to provide</w:t>
            </w:r>
            <w:r>
              <w:t xml:space="preserve"> the following services:</w:t>
            </w:r>
          </w:p>
          <w:p w14:paraId="6A8FE7A5" w14:textId="7D3E16C4" w:rsidR="00FE325A" w:rsidRDefault="002014CB" w:rsidP="00EF4C8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indigent legal services monitoring, including:</w:t>
            </w:r>
          </w:p>
          <w:p w14:paraId="4FEDB083" w14:textId="297A17E4" w:rsidR="00FE325A" w:rsidRDefault="002014CB" w:rsidP="00EF4C8C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assisting defendants in filing applications for indigent legal services;</w:t>
            </w:r>
          </w:p>
          <w:p w14:paraId="57F70763" w14:textId="6F5847A0" w:rsidR="00FE325A" w:rsidRDefault="002014CB" w:rsidP="00EF4C8C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reviewing applications and documentation to assist the court in determining eligibility for indigent legal serv</w:t>
            </w:r>
            <w:r>
              <w:t>ices; and</w:t>
            </w:r>
          </w:p>
          <w:p w14:paraId="3AA43EE3" w14:textId="281D770F" w:rsidR="00FE325A" w:rsidRDefault="002014CB" w:rsidP="00EF4C8C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coordinating with appointed attorneys to ensure sufficient legal services are provided;</w:t>
            </w:r>
          </w:p>
          <w:p w14:paraId="7EB1174C" w14:textId="4DEAC4D9" w:rsidR="00FE325A" w:rsidRDefault="002014CB" w:rsidP="00EF4C8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pretrial rehabilitative services, including:</w:t>
            </w:r>
          </w:p>
          <w:p w14:paraId="721BFF2B" w14:textId="35AB3052" w:rsidR="00FE325A" w:rsidRDefault="002014CB" w:rsidP="00EF4C8C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determining what rehabilitative services are available to a defendant;</w:t>
            </w:r>
          </w:p>
          <w:p w14:paraId="56B9C5FD" w14:textId="57E8C1BB" w:rsidR="00FE325A" w:rsidRDefault="002014CB" w:rsidP="00EF4C8C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making recommendations to </w:t>
            </w:r>
            <w:r w:rsidR="002C4482">
              <w:t xml:space="preserve">the </w:t>
            </w:r>
            <w:r>
              <w:t>state,</w:t>
            </w:r>
            <w:r w:rsidR="002C4482">
              <w:t xml:space="preserve"> </w:t>
            </w:r>
            <w:r>
              <w:t>defen</w:t>
            </w:r>
            <w:r>
              <w:t>se counsel, and the court on rehabilitative services; and</w:t>
            </w:r>
          </w:p>
          <w:p w14:paraId="3D944A09" w14:textId="7FECAF8C" w:rsidR="00FE325A" w:rsidRDefault="002014CB" w:rsidP="00EF4C8C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monitoring the placement of defendants in rehabilitative services;</w:t>
            </w:r>
          </w:p>
          <w:p w14:paraId="15967C71" w14:textId="646BBCE6" w:rsidR="00FE325A" w:rsidRDefault="002014CB" w:rsidP="00EF4C8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coordination of mental health services, including:</w:t>
            </w:r>
          </w:p>
          <w:p w14:paraId="6BAFC232" w14:textId="1722370D" w:rsidR="00FE325A" w:rsidRDefault="002014CB" w:rsidP="00EF4C8C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recommending mental health testing;</w:t>
            </w:r>
          </w:p>
          <w:p w14:paraId="06F05D20" w14:textId="0C1D628D" w:rsidR="00FE325A" w:rsidRDefault="002014CB" w:rsidP="00EF4C8C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assisting defense counsel in meeting mental </w:t>
            </w:r>
            <w:r>
              <w:t>health testing requirements;</w:t>
            </w:r>
          </w:p>
          <w:p w14:paraId="563A2180" w14:textId="57E2337C" w:rsidR="00FE325A" w:rsidRDefault="002014CB" w:rsidP="00EF4C8C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monitoring compliance with mental health testing dates; and</w:t>
            </w:r>
          </w:p>
          <w:p w14:paraId="7629B28A" w14:textId="6078CF09" w:rsidR="00FE325A" w:rsidRDefault="002014CB" w:rsidP="00EF4C8C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assisting magistrates with mental health orders and testing; and</w:t>
            </w:r>
          </w:p>
          <w:p w14:paraId="120637F7" w14:textId="65F3EAD7" w:rsidR="00FE325A" w:rsidRDefault="002014CB" w:rsidP="00EF4C8C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other services as are required to fulfill the goals of pretrial bond supervision.</w:t>
            </w:r>
          </w:p>
          <w:p w14:paraId="5985148B" w14:textId="58625F5A" w:rsidR="00FE325A" w:rsidRDefault="002014CB" w:rsidP="00EF4C8C">
            <w:pPr>
              <w:jc w:val="both"/>
            </w:pPr>
            <w:r>
              <w:t>These provisions exp</w:t>
            </w:r>
            <w:r>
              <w:t xml:space="preserve">ressly do not apply to </w:t>
            </w:r>
            <w:r w:rsidRPr="00FE325A">
              <w:t>a personal bond and pretrial supervision office that on January 1, 1995, was operated by a community corrections and supervision department.</w:t>
            </w:r>
          </w:p>
          <w:p w14:paraId="08B01686" w14:textId="77777777" w:rsidR="00EF244F" w:rsidRDefault="00EF244F" w:rsidP="00EF4C8C">
            <w:pPr>
              <w:jc w:val="both"/>
            </w:pPr>
          </w:p>
          <w:p w14:paraId="6C5DDFDA" w14:textId="77777777" w:rsidR="008423E4" w:rsidRDefault="002014CB" w:rsidP="00EF4C8C">
            <w:pPr>
              <w:jc w:val="both"/>
            </w:pPr>
            <w:r>
              <w:t xml:space="preserve">H.B. 4398 amends the Government Code to entitle a </w:t>
            </w:r>
            <w:r w:rsidRPr="00EF244F">
              <w:t>director of a personal bond or personal bond and pretrial supervision office</w:t>
            </w:r>
            <w:r w:rsidR="00F63EC2">
              <w:t xml:space="preserve"> established under the bill's provisions</w:t>
            </w:r>
            <w:r w:rsidRPr="00EF244F">
              <w:t>, or an employee of the office authorized by the director,</w:t>
            </w:r>
            <w:r>
              <w:t xml:space="preserve"> to </w:t>
            </w:r>
            <w:r w:rsidRPr="00EF244F">
              <w:t>obtain from the Department o</w:t>
            </w:r>
            <w:r w:rsidRPr="00EF244F">
              <w:t xml:space="preserve">f Public Safety </w:t>
            </w:r>
            <w:r>
              <w:t>(DPS)</w:t>
            </w:r>
            <w:r w:rsidRPr="00EF244F">
              <w:t xml:space="preserve"> criminal history record information maintained by </w:t>
            </w:r>
            <w:r>
              <w:t xml:space="preserve">DPS </w:t>
            </w:r>
            <w:r w:rsidRPr="00EF244F">
              <w:t>that relates to a person who is being considered for personal bond or is receiving services from the office.</w:t>
            </w:r>
            <w:r>
              <w:t xml:space="preserve"> The bill prohibits DPS from charging </w:t>
            </w:r>
            <w:r w:rsidRPr="00EF244F">
              <w:t xml:space="preserve">a fee for providing </w:t>
            </w:r>
            <w:r w:rsidR="00E13569">
              <w:t xml:space="preserve">the </w:t>
            </w:r>
            <w:r w:rsidRPr="00EF244F">
              <w:t>criminal h</w:t>
            </w:r>
            <w:r w:rsidRPr="00EF244F">
              <w:t>istory record information</w:t>
            </w:r>
            <w:r w:rsidR="00E13569">
              <w:t xml:space="preserve"> and </w:t>
            </w:r>
            <w:r>
              <w:t xml:space="preserve">prohibits a person who </w:t>
            </w:r>
            <w:r w:rsidRPr="00EF244F">
              <w:t xml:space="preserve">obtains </w:t>
            </w:r>
            <w:r>
              <w:t xml:space="preserve">such </w:t>
            </w:r>
            <w:r w:rsidRPr="00EF244F">
              <w:t>information</w:t>
            </w:r>
            <w:r>
              <w:t xml:space="preserve"> from releasing </w:t>
            </w:r>
            <w:r w:rsidRPr="00EF244F">
              <w:t>the information to any person except to a judge or magistrate making a bond determination, if the criminal history is relevant to that determination.</w:t>
            </w:r>
            <w:r>
              <w:t xml:space="preserve"> However, the </w:t>
            </w:r>
            <w:r>
              <w:t>bill authorizes a person who obtains such information to disclose to the subject of the information, the state</w:t>
            </w:r>
            <w:r w:rsidR="00134171">
              <w:t>'s</w:t>
            </w:r>
            <w:r>
              <w:t xml:space="preserve"> attorney, or the subject's defense attorney the date and place of any arrest in the subject's criminal history and the offense for which the su</w:t>
            </w:r>
            <w:r>
              <w:t>bject was arrested and the associated dispositions.</w:t>
            </w:r>
          </w:p>
          <w:p w14:paraId="76B3F46C" w14:textId="57B8ECB6" w:rsidR="00EF4C8C" w:rsidRPr="00EF244F" w:rsidRDefault="00EF4C8C" w:rsidP="00EF4C8C">
            <w:pPr>
              <w:jc w:val="both"/>
            </w:pPr>
          </w:p>
        </w:tc>
      </w:tr>
      <w:tr w:rsidR="00204983" w14:paraId="7ED141BE" w14:textId="77777777" w:rsidTr="00345119">
        <w:tc>
          <w:tcPr>
            <w:tcW w:w="9576" w:type="dxa"/>
          </w:tcPr>
          <w:p w14:paraId="60E74679" w14:textId="77777777" w:rsidR="008423E4" w:rsidRPr="00A8133F" w:rsidRDefault="002014CB" w:rsidP="00EF4C8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3878945" w14:textId="77777777" w:rsidR="008423E4" w:rsidRDefault="008423E4" w:rsidP="00EF4C8C"/>
          <w:p w14:paraId="0AFBF421" w14:textId="459B36A2" w:rsidR="008423E4" w:rsidRPr="00233FDB" w:rsidRDefault="002014CB" w:rsidP="00EF4C8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3CD41939" w14:textId="77777777" w:rsidR="008423E4" w:rsidRPr="00BE0E75" w:rsidRDefault="008423E4" w:rsidP="00EF4C8C">
      <w:pPr>
        <w:jc w:val="both"/>
        <w:rPr>
          <w:rFonts w:ascii="Arial" w:hAnsi="Arial"/>
          <w:sz w:val="16"/>
          <w:szCs w:val="16"/>
        </w:rPr>
      </w:pPr>
    </w:p>
    <w:p w14:paraId="2FD87BA5" w14:textId="77777777" w:rsidR="004108C3" w:rsidRPr="008423E4" w:rsidRDefault="004108C3" w:rsidP="00EF4C8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C7D6" w14:textId="77777777" w:rsidR="00000000" w:rsidRDefault="002014CB">
      <w:r>
        <w:separator/>
      </w:r>
    </w:p>
  </w:endnote>
  <w:endnote w:type="continuationSeparator" w:id="0">
    <w:p w14:paraId="0B7654D8" w14:textId="77777777" w:rsidR="00000000" w:rsidRDefault="0020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943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4983" w14:paraId="5E003F12" w14:textId="77777777" w:rsidTr="009C1E9A">
      <w:trPr>
        <w:cantSplit/>
      </w:trPr>
      <w:tc>
        <w:tcPr>
          <w:tcW w:w="0" w:type="pct"/>
        </w:tcPr>
        <w:p w14:paraId="7E2B6A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A819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D80BB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46E6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0536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4983" w14:paraId="1DF6F97E" w14:textId="77777777" w:rsidTr="009C1E9A">
      <w:trPr>
        <w:cantSplit/>
      </w:trPr>
      <w:tc>
        <w:tcPr>
          <w:tcW w:w="0" w:type="pct"/>
        </w:tcPr>
        <w:p w14:paraId="4A808A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487F5A" w14:textId="77777777" w:rsidR="00EC379B" w:rsidRPr="009C1E9A" w:rsidRDefault="002014C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28228-D</w:t>
          </w:r>
        </w:p>
      </w:tc>
      <w:tc>
        <w:tcPr>
          <w:tcW w:w="2453" w:type="pct"/>
        </w:tcPr>
        <w:p w14:paraId="384A85AC" w14:textId="11B53BA4" w:rsidR="00EC379B" w:rsidRDefault="002014C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F4C8C">
            <w:t>23.125.1161</w:t>
          </w:r>
          <w:r>
            <w:fldChar w:fldCharType="end"/>
          </w:r>
        </w:p>
      </w:tc>
    </w:tr>
    <w:tr w:rsidR="00204983" w14:paraId="6126CFA5" w14:textId="77777777" w:rsidTr="009C1E9A">
      <w:trPr>
        <w:cantSplit/>
      </w:trPr>
      <w:tc>
        <w:tcPr>
          <w:tcW w:w="0" w:type="pct"/>
        </w:tcPr>
        <w:p w14:paraId="26CE20B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CA642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B6FF05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0636B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4983" w14:paraId="745F699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F8DA30" w14:textId="77777777" w:rsidR="00EC379B" w:rsidRDefault="002014C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D736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B62820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771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3C30" w14:textId="77777777" w:rsidR="00000000" w:rsidRDefault="002014CB">
      <w:r>
        <w:separator/>
      </w:r>
    </w:p>
  </w:footnote>
  <w:footnote w:type="continuationSeparator" w:id="0">
    <w:p w14:paraId="33F2ECBE" w14:textId="77777777" w:rsidR="00000000" w:rsidRDefault="0020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085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998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6CC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C41BD"/>
    <w:multiLevelType w:val="hybridMultilevel"/>
    <w:tmpl w:val="4B9C117A"/>
    <w:lvl w:ilvl="0" w:tplc="4A1C9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EC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6F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2F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A1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C0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88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81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E2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47E78"/>
    <w:multiLevelType w:val="hybridMultilevel"/>
    <w:tmpl w:val="B9B83F9A"/>
    <w:lvl w:ilvl="0" w:tplc="1FB8231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A6583146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A52E8782" w:tentative="1">
      <w:start w:val="1"/>
      <w:numFmt w:val="lowerRoman"/>
      <w:lvlText w:val="%3."/>
      <w:lvlJc w:val="right"/>
      <w:pPr>
        <w:ind w:left="2160" w:hanging="180"/>
      </w:pPr>
    </w:lvl>
    <w:lvl w:ilvl="3" w:tplc="042690B6" w:tentative="1">
      <w:start w:val="1"/>
      <w:numFmt w:val="decimal"/>
      <w:lvlText w:val="%4."/>
      <w:lvlJc w:val="left"/>
      <w:pPr>
        <w:ind w:left="2880" w:hanging="360"/>
      </w:pPr>
    </w:lvl>
    <w:lvl w:ilvl="4" w:tplc="0D6E7FAA" w:tentative="1">
      <w:start w:val="1"/>
      <w:numFmt w:val="lowerLetter"/>
      <w:lvlText w:val="%5."/>
      <w:lvlJc w:val="left"/>
      <w:pPr>
        <w:ind w:left="3600" w:hanging="360"/>
      </w:pPr>
    </w:lvl>
    <w:lvl w:ilvl="5" w:tplc="0160254A" w:tentative="1">
      <w:start w:val="1"/>
      <w:numFmt w:val="lowerRoman"/>
      <w:lvlText w:val="%6."/>
      <w:lvlJc w:val="right"/>
      <w:pPr>
        <w:ind w:left="4320" w:hanging="180"/>
      </w:pPr>
    </w:lvl>
    <w:lvl w:ilvl="6" w:tplc="122C7246" w:tentative="1">
      <w:start w:val="1"/>
      <w:numFmt w:val="decimal"/>
      <w:lvlText w:val="%7."/>
      <w:lvlJc w:val="left"/>
      <w:pPr>
        <w:ind w:left="5040" w:hanging="360"/>
      </w:pPr>
    </w:lvl>
    <w:lvl w:ilvl="7" w:tplc="4CF47B76" w:tentative="1">
      <w:start w:val="1"/>
      <w:numFmt w:val="lowerLetter"/>
      <w:lvlText w:val="%8."/>
      <w:lvlJc w:val="left"/>
      <w:pPr>
        <w:ind w:left="5760" w:hanging="360"/>
      </w:pPr>
    </w:lvl>
    <w:lvl w:ilvl="8" w:tplc="DD0A4E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0DE1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67A"/>
    <w:rsid w:val="000E1976"/>
    <w:rsid w:val="000E20F1"/>
    <w:rsid w:val="000E2193"/>
    <w:rsid w:val="000E5B20"/>
    <w:rsid w:val="000E7C14"/>
    <w:rsid w:val="000F094C"/>
    <w:rsid w:val="000F1392"/>
    <w:rsid w:val="000F18A2"/>
    <w:rsid w:val="000F18BD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890"/>
    <w:rsid w:val="001218D2"/>
    <w:rsid w:val="0012371B"/>
    <w:rsid w:val="001245C8"/>
    <w:rsid w:val="00124653"/>
    <w:rsid w:val="001247C5"/>
    <w:rsid w:val="00127893"/>
    <w:rsid w:val="001312BB"/>
    <w:rsid w:val="0013417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636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CD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4CB"/>
    <w:rsid w:val="0020498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482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A7C"/>
    <w:rsid w:val="00466CE3"/>
    <w:rsid w:val="0047424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F6C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8F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AD9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CC2"/>
    <w:rsid w:val="0075287B"/>
    <w:rsid w:val="00755C7B"/>
    <w:rsid w:val="00760461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399E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3D4"/>
    <w:rsid w:val="00A1446F"/>
    <w:rsid w:val="00A151B5"/>
    <w:rsid w:val="00A220FF"/>
    <w:rsid w:val="00A227E0"/>
    <w:rsid w:val="00A232E4"/>
    <w:rsid w:val="00A24AAD"/>
    <w:rsid w:val="00A26A8A"/>
    <w:rsid w:val="00A27255"/>
    <w:rsid w:val="00A320F7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E6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2F1D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B5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834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7D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569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44F"/>
    <w:rsid w:val="00EF2BAF"/>
    <w:rsid w:val="00EF3B8F"/>
    <w:rsid w:val="00EF4C8C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EC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25A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FB0C7A-062C-4424-9E33-E2E6952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742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4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42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24E"/>
    <w:rPr>
      <w:b/>
      <w:bCs/>
    </w:rPr>
  </w:style>
  <w:style w:type="paragraph" w:styleId="ListParagraph">
    <w:name w:val="List Paragraph"/>
    <w:basedOn w:val="Normal"/>
    <w:uiPriority w:val="34"/>
    <w:qFormat/>
    <w:rsid w:val="00FE325A"/>
    <w:pPr>
      <w:ind w:left="720"/>
      <w:contextualSpacing/>
    </w:pPr>
  </w:style>
  <w:style w:type="paragraph" w:styleId="Revision">
    <w:name w:val="Revision"/>
    <w:hidden/>
    <w:uiPriority w:val="99"/>
    <w:semiHidden/>
    <w:rsid w:val="00080D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4113</Characters>
  <Application>Microsoft Office Word</Application>
  <DocSecurity>4</DocSecurity>
  <Lines>89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HB04398 (Committee Report (Unamended))</vt:lpstr>
    </vt:vector>
  </TitlesOfParts>
  <Company>State of Texas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28228</dc:subject>
  <dc:creator>State of Texas</dc:creator>
  <dc:description>HB 4398 by Kitzman-(H)Criminal Jurisprudence</dc:description>
  <cp:lastModifiedBy>Matthew Lee</cp:lastModifiedBy>
  <cp:revision>2</cp:revision>
  <cp:lastPrinted>2003-11-26T17:21:00Z</cp:lastPrinted>
  <dcterms:created xsi:type="dcterms:W3CDTF">2023-05-06T17:48:00Z</dcterms:created>
  <dcterms:modified xsi:type="dcterms:W3CDTF">2023-05-06T17:48:00Z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23.125.1161</vt:lpwstr>
  </property>
</Properties>
</file>