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C2166" w14:paraId="3BB045D0" w14:textId="77777777" w:rsidTr="00345119">
        <w:tc>
          <w:tcPr>
            <w:tcW w:w="9576" w:type="dxa"/>
            <w:noWrap/>
          </w:tcPr>
          <w:p w14:paraId="03890C7A" w14:textId="77777777" w:rsidR="008423E4" w:rsidRPr="0022177D" w:rsidRDefault="00E95D9A" w:rsidP="00612BB0">
            <w:pPr>
              <w:pStyle w:val="Heading1"/>
            </w:pPr>
            <w:r w:rsidRPr="00631897">
              <w:t>BILL ANALYSIS</w:t>
            </w:r>
          </w:p>
        </w:tc>
      </w:tr>
    </w:tbl>
    <w:p w14:paraId="74731DD1" w14:textId="77777777" w:rsidR="008423E4" w:rsidRPr="0022177D" w:rsidRDefault="008423E4" w:rsidP="00612BB0">
      <w:pPr>
        <w:jc w:val="center"/>
      </w:pPr>
    </w:p>
    <w:p w14:paraId="7F4BD248" w14:textId="77777777" w:rsidR="008423E4" w:rsidRPr="00B31F0E" w:rsidRDefault="008423E4" w:rsidP="00612BB0"/>
    <w:p w14:paraId="1ACF2200" w14:textId="77777777" w:rsidR="008423E4" w:rsidRPr="00742794" w:rsidRDefault="008423E4" w:rsidP="00612BB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C2166" w14:paraId="27299D15" w14:textId="77777777" w:rsidTr="00345119">
        <w:tc>
          <w:tcPr>
            <w:tcW w:w="9576" w:type="dxa"/>
          </w:tcPr>
          <w:p w14:paraId="175807A2" w14:textId="77777777" w:rsidR="008423E4" w:rsidRPr="00861995" w:rsidRDefault="00E95D9A" w:rsidP="00612BB0">
            <w:pPr>
              <w:jc w:val="right"/>
            </w:pPr>
            <w:r>
              <w:t>H.B. 4447</w:t>
            </w:r>
          </w:p>
        </w:tc>
      </w:tr>
      <w:tr w:rsidR="000C2166" w14:paraId="67BA5F2A" w14:textId="77777777" w:rsidTr="00345119">
        <w:tc>
          <w:tcPr>
            <w:tcW w:w="9576" w:type="dxa"/>
          </w:tcPr>
          <w:p w14:paraId="027BF032" w14:textId="77777777" w:rsidR="008423E4" w:rsidRPr="00861995" w:rsidRDefault="00E95D9A" w:rsidP="00612BB0">
            <w:pPr>
              <w:jc w:val="right"/>
            </w:pPr>
            <w:r>
              <w:t xml:space="preserve">By: </w:t>
            </w:r>
            <w:r w:rsidR="00071F62">
              <w:t>Cook</w:t>
            </w:r>
          </w:p>
        </w:tc>
      </w:tr>
      <w:tr w:rsidR="000C2166" w14:paraId="3789BB40" w14:textId="77777777" w:rsidTr="00345119">
        <w:tc>
          <w:tcPr>
            <w:tcW w:w="9576" w:type="dxa"/>
          </w:tcPr>
          <w:p w14:paraId="73E1C684" w14:textId="77777777" w:rsidR="008423E4" w:rsidRPr="00861995" w:rsidRDefault="00E95D9A" w:rsidP="00612BB0">
            <w:pPr>
              <w:jc w:val="right"/>
            </w:pPr>
            <w:r>
              <w:t>Licensing &amp; Administrative Procedures</w:t>
            </w:r>
          </w:p>
        </w:tc>
      </w:tr>
      <w:tr w:rsidR="000C2166" w14:paraId="16FF1AB8" w14:textId="77777777" w:rsidTr="00345119">
        <w:tc>
          <w:tcPr>
            <w:tcW w:w="9576" w:type="dxa"/>
          </w:tcPr>
          <w:p w14:paraId="39E1657C" w14:textId="77777777" w:rsidR="008423E4" w:rsidRDefault="00E95D9A" w:rsidP="00612BB0">
            <w:pPr>
              <w:jc w:val="right"/>
            </w:pPr>
            <w:r>
              <w:t>Committee Report (Unamended)</w:t>
            </w:r>
          </w:p>
        </w:tc>
      </w:tr>
    </w:tbl>
    <w:p w14:paraId="53B0C20F" w14:textId="77777777" w:rsidR="008423E4" w:rsidRDefault="008423E4" w:rsidP="00612BB0">
      <w:pPr>
        <w:tabs>
          <w:tab w:val="right" w:pos="9360"/>
        </w:tabs>
      </w:pPr>
    </w:p>
    <w:p w14:paraId="3F11A2A6" w14:textId="77777777" w:rsidR="008423E4" w:rsidRDefault="008423E4" w:rsidP="00612BB0"/>
    <w:p w14:paraId="2299950C" w14:textId="77777777" w:rsidR="008423E4" w:rsidRDefault="008423E4" w:rsidP="00612BB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C2166" w14:paraId="178CD407" w14:textId="77777777" w:rsidTr="00345119">
        <w:tc>
          <w:tcPr>
            <w:tcW w:w="9576" w:type="dxa"/>
          </w:tcPr>
          <w:p w14:paraId="78F79F8F" w14:textId="77777777" w:rsidR="008423E4" w:rsidRPr="00A8133F" w:rsidRDefault="00E95D9A" w:rsidP="00612BB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EB1259D" w14:textId="77777777" w:rsidR="008423E4" w:rsidRDefault="008423E4" w:rsidP="00612BB0"/>
          <w:p w14:paraId="7CFCCAD4" w14:textId="7859F18E" w:rsidR="008423E4" w:rsidRDefault="00E95D9A" w:rsidP="00612BB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Vehicle storage facilities have not increased </w:t>
            </w:r>
            <w:r w:rsidR="00FC7F10">
              <w:t xml:space="preserve">the amount of </w:t>
            </w:r>
            <w:r>
              <w:t>the impoundment</w:t>
            </w:r>
            <w:r w:rsidR="00335E44">
              <w:t xml:space="preserve"> fee</w:t>
            </w:r>
            <w:r>
              <w:t>, daily storage</w:t>
            </w:r>
            <w:r w:rsidR="00335E44">
              <w:t xml:space="preserve"> fee</w:t>
            </w:r>
            <w:r>
              <w:t xml:space="preserve">, and maximum </w:t>
            </w:r>
            <w:r>
              <w:t>notification fee</w:t>
            </w:r>
            <w:r w:rsidR="00FC7F10">
              <w:t>s</w:t>
            </w:r>
            <w:r>
              <w:t xml:space="preserve"> they </w:t>
            </w:r>
            <w:r w:rsidR="00FC7F10">
              <w:t xml:space="preserve">may </w:t>
            </w:r>
            <w:r>
              <w:t xml:space="preserve">charge </w:t>
            </w:r>
            <w:r w:rsidR="00FC7F10">
              <w:t xml:space="preserve">since these amounts </w:t>
            </w:r>
            <w:r>
              <w:t xml:space="preserve">were frozen </w:t>
            </w:r>
            <w:r w:rsidR="000123AC">
              <w:t>in the</w:t>
            </w:r>
            <w:r>
              <w:t xml:space="preserve"> Occupation</w:t>
            </w:r>
            <w:r w:rsidR="00FC7F10">
              <w:t>s</w:t>
            </w:r>
            <w:r>
              <w:t xml:space="preserve"> Code</w:t>
            </w:r>
            <w:r w:rsidR="000A22E9">
              <w:t xml:space="preserve"> in the mid-2000s</w:t>
            </w:r>
            <w:r>
              <w:t xml:space="preserve">. The 86th Legislature </w:t>
            </w:r>
            <w:r w:rsidR="00335E44">
              <w:t>enacted legislation authorizing</w:t>
            </w:r>
            <w:r>
              <w:t xml:space="preserve"> the Texas </w:t>
            </w:r>
            <w:r w:rsidR="00816787">
              <w:t xml:space="preserve">Commission </w:t>
            </w:r>
            <w:r>
              <w:t>of Licensing and Regulation (T</w:t>
            </w:r>
            <w:r w:rsidR="00816787">
              <w:t>C</w:t>
            </w:r>
            <w:r>
              <w:t xml:space="preserve">LR) to adopt biennial price adjustments </w:t>
            </w:r>
            <w:r w:rsidR="00816787">
              <w:t>to the impoundment and</w:t>
            </w:r>
            <w:r>
              <w:t xml:space="preserve"> daily storage fee amounts based on increases or decreases in the </w:t>
            </w:r>
            <w:r w:rsidR="00816787">
              <w:t xml:space="preserve">Consumer Price Index for All Urban Consumers (CPI-U) beginning in </w:t>
            </w:r>
            <w:r>
              <w:t xml:space="preserve">2019. </w:t>
            </w:r>
            <w:r w:rsidR="00816787">
              <w:t>H</w:t>
            </w:r>
            <w:r>
              <w:t xml:space="preserve">owever, </w:t>
            </w:r>
            <w:r w:rsidR="00816787">
              <w:t xml:space="preserve">this change </w:t>
            </w:r>
            <w:r>
              <w:t>does not allow T</w:t>
            </w:r>
            <w:r w:rsidR="00816787">
              <w:t>C</w:t>
            </w:r>
            <w:r>
              <w:t xml:space="preserve">LR to adjust </w:t>
            </w:r>
            <w:r w:rsidR="00681A57">
              <w:t xml:space="preserve">the </w:t>
            </w:r>
            <w:r>
              <w:t xml:space="preserve">maximum notification fee, </w:t>
            </w:r>
            <w:r w:rsidR="00681A57">
              <w:t xml:space="preserve">which is </w:t>
            </w:r>
            <w:r>
              <w:t>currently</w:t>
            </w:r>
            <w:r>
              <w:t xml:space="preserve"> capped at $50, nor does it allow T</w:t>
            </w:r>
            <w:r w:rsidR="00681A57">
              <w:t>C</w:t>
            </w:r>
            <w:r>
              <w:t>LR to address the CPI</w:t>
            </w:r>
            <w:r w:rsidR="00681A57">
              <w:t>-U</w:t>
            </w:r>
            <w:r>
              <w:t xml:space="preserve"> changes from 2005</w:t>
            </w:r>
            <w:r w:rsidR="002B6297">
              <w:t xml:space="preserve"> to </w:t>
            </w:r>
            <w:r>
              <w:t xml:space="preserve">2019. H.B. 4447 </w:t>
            </w:r>
            <w:r w:rsidR="00681A57">
              <w:t>seeks to address these issues by</w:t>
            </w:r>
            <w:r>
              <w:t xml:space="preserve"> requir</w:t>
            </w:r>
            <w:r w:rsidR="00681A57">
              <w:t>ing</w:t>
            </w:r>
            <w:r>
              <w:t xml:space="preserve"> T</w:t>
            </w:r>
            <w:r w:rsidR="00681A57">
              <w:t>C</w:t>
            </w:r>
            <w:r>
              <w:t>LR</w:t>
            </w:r>
            <w:r>
              <w:t xml:space="preserve"> to adopt a one-time adjustment to the impoundment, daily storage, and maximum notification fee amounts to correspond to changes to the CPI</w:t>
            </w:r>
            <w:r w:rsidR="00681A57">
              <w:t>-U</w:t>
            </w:r>
            <w:r>
              <w:t xml:space="preserve"> from 2005 to 2019</w:t>
            </w:r>
            <w:r w:rsidR="00FC7F10">
              <w:t xml:space="preserve"> and </w:t>
            </w:r>
            <w:r>
              <w:t xml:space="preserve">to reflect current prices. </w:t>
            </w:r>
            <w:r w:rsidR="00681A57">
              <w:t xml:space="preserve">The bill additionally provides for a </w:t>
            </w:r>
            <w:r w:rsidR="00FC7F10">
              <w:t xml:space="preserve">biennial </w:t>
            </w:r>
            <w:r w:rsidR="00681A57">
              <w:t xml:space="preserve">CPI-U adjustment </w:t>
            </w:r>
            <w:r w:rsidR="00FC7F10">
              <w:t>to the maximum</w:t>
            </w:r>
            <w:r w:rsidR="00681A57">
              <w:t xml:space="preserve"> </w:t>
            </w:r>
            <w:r>
              <w:t xml:space="preserve">notification fee </w:t>
            </w:r>
            <w:r w:rsidR="00FC7F10">
              <w:t>in the same manner that such an adjustment may be provided for the impoundment and</w:t>
            </w:r>
            <w:r>
              <w:t xml:space="preserve"> daily storage fees.</w:t>
            </w:r>
          </w:p>
          <w:p w14:paraId="08FE1C35" w14:textId="77777777" w:rsidR="008423E4" w:rsidRPr="00E26B13" w:rsidRDefault="008423E4" w:rsidP="00612BB0">
            <w:pPr>
              <w:rPr>
                <w:b/>
              </w:rPr>
            </w:pPr>
          </w:p>
        </w:tc>
      </w:tr>
      <w:tr w:rsidR="000C2166" w14:paraId="5FB00602" w14:textId="77777777" w:rsidTr="00345119">
        <w:tc>
          <w:tcPr>
            <w:tcW w:w="9576" w:type="dxa"/>
          </w:tcPr>
          <w:p w14:paraId="10AEE1EB" w14:textId="77777777" w:rsidR="0017725B" w:rsidRDefault="00E95D9A" w:rsidP="00612BB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01DB1E4" w14:textId="77777777" w:rsidR="0017725B" w:rsidRDefault="0017725B" w:rsidP="00612BB0">
            <w:pPr>
              <w:rPr>
                <w:b/>
                <w:u w:val="single"/>
              </w:rPr>
            </w:pPr>
          </w:p>
          <w:p w14:paraId="2F4A37BA" w14:textId="4D489610" w:rsidR="00E50487" w:rsidRPr="00E50487" w:rsidRDefault="00E95D9A" w:rsidP="00612BB0">
            <w:pPr>
              <w:jc w:val="both"/>
            </w:pPr>
            <w:r>
              <w:t>It is the committee's opinion that this bill does not expressly create a criminal offense, incre</w:t>
            </w:r>
            <w:r>
              <w:t>ase the punishment for an existing criminal offense or category of offenses, or change the eligibility of a person for community supervision, parole, or mandatory supervision.</w:t>
            </w:r>
          </w:p>
          <w:p w14:paraId="22CAF89B" w14:textId="77777777" w:rsidR="0017725B" w:rsidRPr="0017725B" w:rsidRDefault="0017725B" w:rsidP="00612BB0">
            <w:pPr>
              <w:rPr>
                <w:b/>
                <w:u w:val="single"/>
              </w:rPr>
            </w:pPr>
          </w:p>
        </w:tc>
      </w:tr>
      <w:tr w:rsidR="000C2166" w14:paraId="086494C1" w14:textId="77777777" w:rsidTr="00345119">
        <w:tc>
          <w:tcPr>
            <w:tcW w:w="9576" w:type="dxa"/>
          </w:tcPr>
          <w:p w14:paraId="7EE3614D" w14:textId="77777777" w:rsidR="008423E4" w:rsidRPr="00A8133F" w:rsidRDefault="00E95D9A" w:rsidP="00612BB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418BA5C" w14:textId="77777777" w:rsidR="008423E4" w:rsidRDefault="008423E4" w:rsidP="00612BB0"/>
          <w:p w14:paraId="103DD71E" w14:textId="2F726474" w:rsidR="00E50487" w:rsidRDefault="00E95D9A" w:rsidP="00612BB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</w:t>
            </w:r>
            <w:r>
              <w:t>xpressly grant any additional rulemaking authority to a state officer, department, agency, or institution.</w:t>
            </w:r>
          </w:p>
          <w:p w14:paraId="1ADF6CFB" w14:textId="77777777" w:rsidR="008423E4" w:rsidRPr="00E21FDC" w:rsidRDefault="008423E4" w:rsidP="00612BB0">
            <w:pPr>
              <w:rPr>
                <w:b/>
              </w:rPr>
            </w:pPr>
          </w:p>
        </w:tc>
      </w:tr>
      <w:tr w:rsidR="000C2166" w14:paraId="08C0835C" w14:textId="77777777" w:rsidTr="00345119">
        <w:tc>
          <w:tcPr>
            <w:tcW w:w="9576" w:type="dxa"/>
          </w:tcPr>
          <w:p w14:paraId="15AB731A" w14:textId="77777777" w:rsidR="008423E4" w:rsidRPr="00A8133F" w:rsidRDefault="00E95D9A" w:rsidP="00612BB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D6B6EC1" w14:textId="77777777" w:rsidR="008423E4" w:rsidRDefault="008423E4" w:rsidP="00612BB0"/>
          <w:p w14:paraId="4D84D8CD" w14:textId="41F07857" w:rsidR="009C36CD" w:rsidRDefault="00E95D9A" w:rsidP="00612BB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4447 amends the Occupations Code to require t</w:t>
            </w:r>
            <w:r w:rsidRPr="00071F62">
              <w:t>he Texas Commission of Licensing and Regulation</w:t>
            </w:r>
            <w:r>
              <w:t xml:space="preserve"> </w:t>
            </w:r>
            <w:r w:rsidR="00174887" w:rsidRPr="00174887">
              <w:t>(TCLR)</w:t>
            </w:r>
            <w:r w:rsidR="00AB3AB6">
              <w:t>,</w:t>
            </w:r>
            <w:r w:rsidR="00174887" w:rsidRPr="00174887">
              <w:t xml:space="preserve"> </w:t>
            </w:r>
            <w:r>
              <w:t>n</w:t>
            </w:r>
            <w:r w:rsidRPr="00071F62">
              <w:t xml:space="preserve">ot later than </w:t>
            </w:r>
            <w:r w:rsidRPr="00071F62">
              <w:t>November 1, 2023</w:t>
            </w:r>
            <w:r>
              <w:t>, to adjust the</w:t>
            </w:r>
            <w:r w:rsidR="00174887">
              <w:t xml:space="preserve"> following fees </w:t>
            </w:r>
            <w:r w:rsidR="004B57B3">
              <w:t>that the operator of a vehicle storage facility or governmental vehicle storage facility may charge</w:t>
            </w:r>
            <w:r w:rsidR="004B57B3" w:rsidRPr="004B57B3">
              <w:t xml:space="preserve"> the owner of a vehicle stored or parked at the facility</w:t>
            </w:r>
            <w:r w:rsidR="004B57B3">
              <w:t xml:space="preserve"> </w:t>
            </w:r>
            <w:r w:rsidR="00174887" w:rsidRPr="00174887">
              <w:t>by an amount equal to the amount of the applicable fee or maximum amount in effect on December 31, 2005, multiplied by the percentage increase or decrease, if any, in the</w:t>
            </w:r>
            <w:r w:rsidR="00816787">
              <w:t xml:space="preserve"> Consumer Price Index for All Urban Consumers (CPI-U)</w:t>
            </w:r>
            <w:r w:rsidR="00174887" w:rsidRPr="00174887">
              <w:t xml:space="preserve"> that occurred during the period beginning December 31, 2005, and ending December</w:t>
            </w:r>
            <w:r w:rsidR="002B6297">
              <w:t> </w:t>
            </w:r>
            <w:r w:rsidR="00174887" w:rsidRPr="00174887">
              <w:t>31, 2019</w:t>
            </w:r>
            <w:r w:rsidR="00174887">
              <w:t>:</w:t>
            </w:r>
          </w:p>
          <w:p w14:paraId="08EEE078" w14:textId="273D3419" w:rsidR="004B57B3" w:rsidRDefault="00E95D9A" w:rsidP="00DD41C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$20 impoundment fee for any action that is taken by or at the direction of the owner or operator of the facility and is necessary to preserve, protect, or service a vehicle stored or parked at the facility;</w:t>
            </w:r>
          </w:p>
          <w:p w14:paraId="04FB8BFF" w14:textId="56935CC3" w:rsidR="004B57B3" w:rsidRDefault="00E95D9A" w:rsidP="00DD41C1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$20 daily storage fee </w:t>
            </w:r>
            <w:r>
              <w:t xml:space="preserve">for each day or part of a day that a vehicle not longer than 25 feet is stored at the facility </w:t>
            </w:r>
            <w:r w:rsidR="00FB6113">
              <w:t>and</w:t>
            </w:r>
            <w:r>
              <w:t xml:space="preserve"> </w:t>
            </w:r>
            <w:r w:rsidR="00FB6113">
              <w:t xml:space="preserve">the </w:t>
            </w:r>
            <w:r>
              <w:t xml:space="preserve">$35 </w:t>
            </w:r>
            <w:r w:rsidR="00FB6113">
              <w:t xml:space="preserve">daily storage fee </w:t>
            </w:r>
            <w:r>
              <w:t>for each day or part of a day a vehicle that is longer than 25 feet is stored at the</w:t>
            </w:r>
            <w:r w:rsidR="002B6297">
              <w:t xml:space="preserve"> facility</w:t>
            </w:r>
            <w:r w:rsidR="00A46EF2">
              <w:t xml:space="preserve">; </w:t>
            </w:r>
            <w:r w:rsidR="00FB6113">
              <w:t>and</w:t>
            </w:r>
          </w:p>
          <w:p w14:paraId="54454D3D" w14:textId="3BF9E336" w:rsidR="00A46EF2" w:rsidRDefault="00E95D9A" w:rsidP="00DD41C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maximum $50 notification fee</w:t>
            </w:r>
            <w:r>
              <w:t xml:space="preserve"> for certain notices</w:t>
            </w:r>
            <w:r w:rsidR="00B7519D">
              <w:t xml:space="preserve"> a license holder under the Vehicle Storage Facility Act must provide</w:t>
            </w:r>
            <w:r w:rsidR="00D153B7">
              <w:t xml:space="preserve">. </w:t>
            </w:r>
          </w:p>
          <w:p w14:paraId="49CE306F" w14:textId="4145712E" w:rsidR="00AC6677" w:rsidRDefault="00E95D9A" w:rsidP="00612BB0">
            <w:pPr>
              <w:pStyle w:val="Header"/>
              <w:spacing w:before="120" w:after="120"/>
              <w:jc w:val="both"/>
            </w:pPr>
            <w:r>
              <w:t>If such a fee or maximum amount is adjusted in that manner, TCLR must publish the adjusted fee or maximum amount on the Texas Department of Licensing and Regulation</w:t>
            </w:r>
            <w:r w:rsidR="00AD0D25">
              <w:t xml:space="preserve"> (TDLR)</w:t>
            </w:r>
            <w:r>
              <w:t xml:space="preserve"> website not later than November 1, 2023. These one-time </w:t>
            </w:r>
            <w:r w:rsidR="00B908AC">
              <w:t xml:space="preserve">fee </w:t>
            </w:r>
            <w:r>
              <w:t>adjustment provisions expire September</w:t>
            </w:r>
            <w:r w:rsidR="00AD0D25">
              <w:t> </w:t>
            </w:r>
            <w:r>
              <w:t>1, 2025.</w:t>
            </w:r>
          </w:p>
          <w:p w14:paraId="78C4DF05" w14:textId="127C793B" w:rsidR="00D153B7" w:rsidRDefault="00D153B7" w:rsidP="00612BB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F37A376" w14:textId="7C8E63F5" w:rsidR="00766DD5" w:rsidRDefault="00E95D9A" w:rsidP="00612BB0">
            <w:pPr>
              <w:pStyle w:val="Header"/>
              <w:jc w:val="both"/>
            </w:pPr>
            <w:r>
              <w:t>H.B. 4447 requires T</w:t>
            </w:r>
            <w:r w:rsidR="00D63E40">
              <w:t>C</w:t>
            </w:r>
            <w:r>
              <w:t>LR</w:t>
            </w:r>
            <w:r w:rsidR="00AC6677">
              <w:t>,</w:t>
            </w:r>
            <w:r>
              <w:t xml:space="preserve"> </w:t>
            </w:r>
            <w:r w:rsidR="00E50487">
              <w:t>n</w:t>
            </w:r>
            <w:r w:rsidR="00E50487" w:rsidRPr="00E50487">
              <w:t>ot later than November 1, 2023</w:t>
            </w:r>
            <w:r w:rsidR="00AC6677">
              <w:t>,</w:t>
            </w:r>
            <w:r w:rsidR="00E50487">
              <w:t xml:space="preserve"> </w:t>
            </w:r>
            <w:r>
              <w:t xml:space="preserve">to increase the maximum amount of the notification fee </w:t>
            </w:r>
            <w:r w:rsidR="00AC6677">
              <w:t xml:space="preserve">for certain notices a license holder under the act must </w:t>
            </w:r>
            <w:r w:rsidR="00D04347">
              <w:t xml:space="preserve">provide </w:t>
            </w:r>
            <w:r>
              <w:t>by an amount equal to the sum of</w:t>
            </w:r>
            <w:r w:rsidR="009417D9">
              <w:t xml:space="preserve"> the following</w:t>
            </w:r>
            <w:r>
              <w:t>:</w:t>
            </w:r>
          </w:p>
          <w:p w14:paraId="4C437678" w14:textId="3179A3BD" w:rsidR="00D153B7" w:rsidRDefault="00E95D9A" w:rsidP="00DD41C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the maximum amount of the notification fee in effect on December 31, 2019, multiplied by the percentage increase T</w:t>
            </w:r>
            <w:r w:rsidR="00D63E40">
              <w:t>C</w:t>
            </w:r>
            <w:r>
              <w:t>LR applied to the impoundment fee and storage fees in t</w:t>
            </w:r>
            <w:r>
              <w:t xml:space="preserve">he final rule </w:t>
            </w:r>
            <w:r w:rsidR="008762E1">
              <w:t xml:space="preserve">providing biennial fee adjustments </w:t>
            </w:r>
            <w:r>
              <w:t>adopted by T</w:t>
            </w:r>
            <w:r w:rsidR="00D63E40">
              <w:t>C</w:t>
            </w:r>
            <w:r>
              <w:t>LR</w:t>
            </w:r>
            <w:r w:rsidR="005013C6">
              <w:t xml:space="preserve"> </w:t>
            </w:r>
            <w:r w:rsidR="005013C6" w:rsidRPr="005013C6">
              <w:t>on October 2</w:t>
            </w:r>
            <w:r w:rsidR="005013C6">
              <w:t>5</w:t>
            </w:r>
            <w:r w:rsidR="005013C6" w:rsidRPr="005013C6">
              <w:t>, 201</w:t>
            </w:r>
            <w:r w:rsidR="005013C6">
              <w:t>9</w:t>
            </w:r>
            <w:r>
              <w:t>; and</w:t>
            </w:r>
          </w:p>
          <w:p w14:paraId="41361DDB" w14:textId="7D9DA9EF" w:rsidR="009417D9" w:rsidRDefault="00E95D9A" w:rsidP="00DD41C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766DD5">
              <w:t xml:space="preserve">the maximum amount of the notification fee as adjusted </w:t>
            </w:r>
            <w:r w:rsidR="008762E1">
              <w:t xml:space="preserve">under the bill's provisions based on the </w:t>
            </w:r>
            <w:r w:rsidR="00816787">
              <w:t>CPI-U</w:t>
            </w:r>
            <w:r w:rsidRPr="00766DD5">
              <w:t xml:space="preserve"> multiplied by the percentage increase </w:t>
            </w:r>
            <w:r>
              <w:t>T</w:t>
            </w:r>
            <w:r w:rsidR="00D63E40">
              <w:t>C</w:t>
            </w:r>
            <w:r>
              <w:t xml:space="preserve">LR </w:t>
            </w:r>
            <w:r w:rsidRPr="00766DD5">
              <w:t xml:space="preserve">applied to the impoundment fee and the storage fees in the final rule </w:t>
            </w:r>
            <w:r w:rsidR="00B908AC">
              <w:t xml:space="preserve">providing biennial fee adjustments </w:t>
            </w:r>
            <w:r w:rsidRPr="00766DD5">
              <w:t xml:space="preserve">adopted by </w:t>
            </w:r>
            <w:r>
              <w:t>T</w:t>
            </w:r>
            <w:r w:rsidR="00D63E40">
              <w:t>C</w:t>
            </w:r>
            <w:r>
              <w:t xml:space="preserve">LR on </w:t>
            </w:r>
            <w:r w:rsidRPr="00766DD5">
              <w:t>October 29, 2021</w:t>
            </w:r>
            <w:r>
              <w:t xml:space="preserve">. </w:t>
            </w:r>
          </w:p>
          <w:p w14:paraId="70B2FAD2" w14:textId="2C9BE2BB" w:rsidR="005013C6" w:rsidRDefault="00E95D9A" w:rsidP="00612BB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These one-time </w:t>
            </w:r>
            <w:r w:rsidR="00B908AC">
              <w:t xml:space="preserve">notification </w:t>
            </w:r>
            <w:r>
              <w:t xml:space="preserve">fee </w:t>
            </w:r>
            <w:r w:rsidR="00B908AC">
              <w:t>increase provisions</w:t>
            </w:r>
            <w:r>
              <w:t xml:space="preserve"> expire </w:t>
            </w:r>
            <w:r w:rsidRPr="00231A06">
              <w:t xml:space="preserve">September </w:t>
            </w:r>
            <w:r w:rsidRPr="00231A06">
              <w:t>1, 2025.</w:t>
            </w:r>
          </w:p>
          <w:p w14:paraId="437D9482" w14:textId="77777777" w:rsidR="00231A06" w:rsidRDefault="00231A06" w:rsidP="00612BB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0964B76" w14:textId="3818C90C" w:rsidR="009417D9" w:rsidRPr="009C36CD" w:rsidRDefault="00E95D9A" w:rsidP="00612BB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4447</w:t>
            </w:r>
            <w:r w:rsidR="005013C6">
              <w:t xml:space="preserve"> </w:t>
            </w:r>
            <w:r w:rsidR="009A0B28">
              <w:t>includes</w:t>
            </w:r>
            <w:r w:rsidR="005013C6">
              <w:t xml:space="preserve"> the </w:t>
            </w:r>
            <w:r>
              <w:t xml:space="preserve">maximum amount of the notification fee </w:t>
            </w:r>
            <w:r w:rsidR="009A0B28">
              <w:t xml:space="preserve">among the fees which TCLR may adjust by rule </w:t>
            </w:r>
            <w:r>
              <w:t>not later than November 1 of each odd</w:t>
            </w:r>
            <w:r w:rsidR="00AD0D25">
              <w:t>-</w:t>
            </w:r>
            <w:r>
              <w:t xml:space="preserve">numbered year </w:t>
            </w:r>
            <w:r w:rsidRPr="00D63E40">
              <w:t xml:space="preserve">by an amount equal to the amount of the applicable fee in effect on December 31 of the </w:t>
            </w:r>
            <w:r w:rsidRPr="00D63E40">
              <w:t xml:space="preserve">preceding year multiplied by the percentage increase or decrease in the </w:t>
            </w:r>
            <w:r w:rsidR="00816787">
              <w:t>CPI-U</w:t>
            </w:r>
            <w:r w:rsidR="009A0B28">
              <w:t>. The bill changes the method of determining that increase or decrease</w:t>
            </w:r>
            <w:r w:rsidRPr="00D63E40">
              <w:t xml:space="preserve"> </w:t>
            </w:r>
            <w:r w:rsidR="009A0B28">
              <w:t xml:space="preserve">for purposes of the fee adjustments </w:t>
            </w:r>
            <w:r w:rsidR="009522B3">
              <w:t xml:space="preserve">from the percentage increase or decrease in the </w:t>
            </w:r>
            <w:r w:rsidR="00816787">
              <w:t>CPI-U</w:t>
            </w:r>
            <w:r w:rsidR="009522B3">
              <w:t xml:space="preserve"> during the preceding state fiscal biennium to the percentage increase or decrease, if any, in the </w:t>
            </w:r>
            <w:r w:rsidR="00816787">
              <w:t>CPI-U</w:t>
            </w:r>
            <w:r w:rsidR="009522B3">
              <w:t xml:space="preserve"> </w:t>
            </w:r>
            <w:r w:rsidRPr="00D63E40">
              <w:t xml:space="preserve">during the state fiscal biennium ending August 31 of the year in which </w:t>
            </w:r>
            <w:r>
              <w:t xml:space="preserve">TCLR </w:t>
            </w:r>
            <w:r w:rsidRPr="00D63E40">
              <w:t>adopts a final rule</w:t>
            </w:r>
            <w:r w:rsidR="009522B3">
              <w:t xml:space="preserve"> providing such biennial fee adjustments</w:t>
            </w:r>
            <w:r>
              <w:t xml:space="preserve">. </w:t>
            </w:r>
            <w:r w:rsidRPr="009417D9">
              <w:t>The bill requires TCLR to publish</w:t>
            </w:r>
            <w:r w:rsidRPr="009417D9">
              <w:t xml:space="preserve"> </w:t>
            </w:r>
            <w:r w:rsidR="00A25D79">
              <w:t xml:space="preserve">on </w:t>
            </w:r>
            <w:r w:rsidR="00AD0D25">
              <w:t>the TDLR</w:t>
            </w:r>
            <w:r w:rsidR="00A25D79">
              <w:t xml:space="preserve"> website </w:t>
            </w:r>
            <w:r w:rsidRPr="009417D9">
              <w:t xml:space="preserve">any </w:t>
            </w:r>
            <w:r w:rsidR="00A25D79">
              <w:t>adjustment made to</w:t>
            </w:r>
            <w:r w:rsidRPr="009417D9">
              <w:t xml:space="preserve"> maximum amount</w:t>
            </w:r>
            <w:r w:rsidR="00A25D79">
              <w:t xml:space="preserve"> of the notification fee</w:t>
            </w:r>
            <w:r w:rsidRPr="009417D9">
              <w:t>.</w:t>
            </w:r>
          </w:p>
          <w:p w14:paraId="7C7DFF85" w14:textId="77777777" w:rsidR="008423E4" w:rsidRPr="00835628" w:rsidRDefault="008423E4" w:rsidP="00612BB0">
            <w:pPr>
              <w:rPr>
                <w:b/>
              </w:rPr>
            </w:pPr>
          </w:p>
        </w:tc>
      </w:tr>
      <w:tr w:rsidR="000C2166" w14:paraId="29A8A28E" w14:textId="77777777" w:rsidTr="00345119">
        <w:tc>
          <w:tcPr>
            <w:tcW w:w="9576" w:type="dxa"/>
          </w:tcPr>
          <w:p w14:paraId="5C7C2594" w14:textId="77777777" w:rsidR="008423E4" w:rsidRPr="00A8133F" w:rsidRDefault="00E95D9A" w:rsidP="00612BB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1BA91B5" w14:textId="77777777" w:rsidR="008423E4" w:rsidRDefault="008423E4" w:rsidP="00612BB0"/>
          <w:p w14:paraId="0D7498A9" w14:textId="3A278D92" w:rsidR="008423E4" w:rsidRPr="003624F2" w:rsidRDefault="00E95D9A" w:rsidP="00612BB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50487">
              <w:t>September 1, 2023.</w:t>
            </w:r>
          </w:p>
          <w:p w14:paraId="4D113EF2" w14:textId="77777777" w:rsidR="008423E4" w:rsidRPr="00233FDB" w:rsidRDefault="008423E4" w:rsidP="00612BB0">
            <w:pPr>
              <w:rPr>
                <w:b/>
              </w:rPr>
            </w:pPr>
          </w:p>
        </w:tc>
      </w:tr>
    </w:tbl>
    <w:p w14:paraId="4570F6DB" w14:textId="77777777" w:rsidR="008423E4" w:rsidRPr="00BE0E75" w:rsidRDefault="008423E4" w:rsidP="00612BB0">
      <w:pPr>
        <w:jc w:val="both"/>
        <w:rPr>
          <w:rFonts w:ascii="Arial" w:hAnsi="Arial"/>
          <w:sz w:val="16"/>
          <w:szCs w:val="16"/>
        </w:rPr>
      </w:pPr>
    </w:p>
    <w:p w14:paraId="19BAFE29" w14:textId="77777777" w:rsidR="004108C3" w:rsidRPr="008423E4" w:rsidRDefault="004108C3" w:rsidP="00612BB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AA84" w14:textId="77777777" w:rsidR="00000000" w:rsidRDefault="00E95D9A">
      <w:r>
        <w:separator/>
      </w:r>
    </w:p>
  </w:endnote>
  <w:endnote w:type="continuationSeparator" w:id="0">
    <w:p w14:paraId="72A99BA2" w14:textId="77777777" w:rsidR="00000000" w:rsidRDefault="00E9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ABE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C2166" w14:paraId="7D976998" w14:textId="77777777" w:rsidTr="009C1E9A">
      <w:trPr>
        <w:cantSplit/>
      </w:trPr>
      <w:tc>
        <w:tcPr>
          <w:tcW w:w="0" w:type="pct"/>
        </w:tcPr>
        <w:p w14:paraId="0FFF903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4BB9A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1F618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ECD0D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4153B7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C2166" w14:paraId="66E9F11F" w14:textId="77777777" w:rsidTr="009C1E9A">
      <w:trPr>
        <w:cantSplit/>
      </w:trPr>
      <w:tc>
        <w:tcPr>
          <w:tcW w:w="0" w:type="pct"/>
        </w:tcPr>
        <w:p w14:paraId="34BAE7D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15D64F3" w14:textId="77777777" w:rsidR="00EC379B" w:rsidRPr="009C1E9A" w:rsidRDefault="00E95D9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25424-D</w:t>
          </w:r>
        </w:p>
      </w:tc>
      <w:tc>
        <w:tcPr>
          <w:tcW w:w="2453" w:type="pct"/>
        </w:tcPr>
        <w:p w14:paraId="76F66E14" w14:textId="286C2BC0" w:rsidR="00EC379B" w:rsidRDefault="00E95D9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5000E">
            <w:t>23.114.52</w:t>
          </w:r>
          <w:r>
            <w:fldChar w:fldCharType="end"/>
          </w:r>
        </w:p>
      </w:tc>
    </w:tr>
    <w:tr w:rsidR="000C2166" w14:paraId="5FFF92B8" w14:textId="77777777" w:rsidTr="009C1E9A">
      <w:trPr>
        <w:cantSplit/>
      </w:trPr>
      <w:tc>
        <w:tcPr>
          <w:tcW w:w="0" w:type="pct"/>
        </w:tcPr>
        <w:p w14:paraId="37D4216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0116E6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7C4B83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0DCC1B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C2166" w14:paraId="48BB719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AAC7A94" w14:textId="77777777" w:rsidR="00EC379B" w:rsidRDefault="00E95D9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5E7628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A018FA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E22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DC7BA" w14:textId="77777777" w:rsidR="00000000" w:rsidRDefault="00E95D9A">
      <w:r>
        <w:separator/>
      </w:r>
    </w:p>
  </w:footnote>
  <w:footnote w:type="continuationSeparator" w:id="0">
    <w:p w14:paraId="0796EF6C" w14:textId="77777777" w:rsidR="00000000" w:rsidRDefault="00E95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D0B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70E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5A0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14E15"/>
    <w:multiLevelType w:val="hybridMultilevel"/>
    <w:tmpl w:val="A3963BB4"/>
    <w:lvl w:ilvl="0" w:tplc="136429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987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0CB0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E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4D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4070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0D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01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16B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460D8"/>
    <w:multiLevelType w:val="hybridMultilevel"/>
    <w:tmpl w:val="17AA594C"/>
    <w:lvl w:ilvl="0" w:tplc="FE301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8A4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F8D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04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04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7A4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4D5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25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C69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51081">
    <w:abstractNumId w:val="1"/>
  </w:num>
  <w:num w:numId="2" w16cid:durableId="126707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62"/>
    <w:rsid w:val="00000A70"/>
    <w:rsid w:val="000032B8"/>
    <w:rsid w:val="00003B06"/>
    <w:rsid w:val="000054B9"/>
    <w:rsid w:val="00007461"/>
    <w:rsid w:val="0001117E"/>
    <w:rsid w:val="0001125F"/>
    <w:rsid w:val="000123AC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1F62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2E9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2166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1CD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4887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1A06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297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E44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57B3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3C6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7900"/>
    <w:rsid w:val="005269CE"/>
    <w:rsid w:val="005304B2"/>
    <w:rsid w:val="005336BD"/>
    <w:rsid w:val="00534A49"/>
    <w:rsid w:val="005363BB"/>
    <w:rsid w:val="005368F7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2BB0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929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1A57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D58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87C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DD5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273F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6787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2E1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6F2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2081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7D9"/>
    <w:rsid w:val="009418E9"/>
    <w:rsid w:val="00946044"/>
    <w:rsid w:val="0094653B"/>
    <w:rsid w:val="009465AB"/>
    <w:rsid w:val="00946DEE"/>
    <w:rsid w:val="009522B3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0B28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5D79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6EF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4E82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3AB6"/>
    <w:rsid w:val="00AB474B"/>
    <w:rsid w:val="00AB5CCC"/>
    <w:rsid w:val="00AB74E2"/>
    <w:rsid w:val="00AC2E9A"/>
    <w:rsid w:val="00AC5AAB"/>
    <w:rsid w:val="00AC5AEC"/>
    <w:rsid w:val="00AC5F28"/>
    <w:rsid w:val="00AC6677"/>
    <w:rsid w:val="00AC6900"/>
    <w:rsid w:val="00AD0D25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19D"/>
    <w:rsid w:val="00B80532"/>
    <w:rsid w:val="00B82039"/>
    <w:rsid w:val="00B82454"/>
    <w:rsid w:val="00B90097"/>
    <w:rsid w:val="00B908AC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4347"/>
    <w:rsid w:val="00D060A8"/>
    <w:rsid w:val="00D06605"/>
    <w:rsid w:val="00D0720F"/>
    <w:rsid w:val="00D074E2"/>
    <w:rsid w:val="00D11B0B"/>
    <w:rsid w:val="00D12A3E"/>
    <w:rsid w:val="00D153B7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3E40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1C1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0E"/>
    <w:rsid w:val="00E500F1"/>
    <w:rsid w:val="00E50487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D9A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447"/>
    <w:rsid w:val="00F85661"/>
    <w:rsid w:val="00F96602"/>
    <w:rsid w:val="00F9735A"/>
    <w:rsid w:val="00FA32FC"/>
    <w:rsid w:val="00FA59FD"/>
    <w:rsid w:val="00FA5D8C"/>
    <w:rsid w:val="00FA6403"/>
    <w:rsid w:val="00FB16CD"/>
    <w:rsid w:val="00FB6113"/>
    <w:rsid w:val="00FB73AE"/>
    <w:rsid w:val="00FC5388"/>
    <w:rsid w:val="00FC726C"/>
    <w:rsid w:val="00FC7F10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E7B51B-2C4F-4727-B8DD-BCFB99E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417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17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17D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1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17D9"/>
    <w:rPr>
      <w:b/>
      <w:bCs/>
    </w:rPr>
  </w:style>
  <w:style w:type="paragraph" w:styleId="Revision">
    <w:name w:val="Revision"/>
    <w:hidden/>
    <w:uiPriority w:val="99"/>
    <w:semiHidden/>
    <w:rsid w:val="00AB3A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4177</Characters>
  <Application>Microsoft Office Word</Application>
  <DocSecurity>4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HB04447 (Committee Report (Unamended))</vt:lpstr>
    </vt:vector>
  </TitlesOfParts>
  <Company>State of Texas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25424</dc:subject>
  <dc:creator>State of Texas</dc:creator>
  <dc:description>HB 4447 by Cook-(H)Licensing &amp; Administrative Procedures</dc:description>
  <cp:lastModifiedBy>Stacey Nicchio</cp:lastModifiedBy>
  <cp:revision>2</cp:revision>
  <cp:lastPrinted>2003-11-26T17:21:00Z</cp:lastPrinted>
  <dcterms:created xsi:type="dcterms:W3CDTF">2023-05-01T18:37:00Z</dcterms:created>
  <dcterms:modified xsi:type="dcterms:W3CDTF">2023-05-01T18:37:00Z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23.114.52</vt:lpwstr>
  </property>
</Properties>
</file>