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1D9B" w14:paraId="480FC10E" w14:textId="77777777" w:rsidTr="00345119">
        <w:tc>
          <w:tcPr>
            <w:tcW w:w="9576" w:type="dxa"/>
            <w:noWrap/>
          </w:tcPr>
          <w:p w14:paraId="2B4D1AF4" w14:textId="77777777" w:rsidR="008423E4" w:rsidRPr="0022177D" w:rsidRDefault="00F82537" w:rsidP="00496AED">
            <w:pPr>
              <w:pStyle w:val="Heading1"/>
            </w:pPr>
            <w:r w:rsidRPr="00631897">
              <w:t>BILL ANALYSIS</w:t>
            </w:r>
          </w:p>
        </w:tc>
      </w:tr>
    </w:tbl>
    <w:p w14:paraId="1F6E1BB1" w14:textId="77777777" w:rsidR="008423E4" w:rsidRPr="0022177D" w:rsidRDefault="008423E4" w:rsidP="00496AED">
      <w:pPr>
        <w:jc w:val="center"/>
      </w:pPr>
    </w:p>
    <w:p w14:paraId="5E291477" w14:textId="77777777" w:rsidR="008423E4" w:rsidRPr="00B31F0E" w:rsidRDefault="008423E4" w:rsidP="00496AED"/>
    <w:p w14:paraId="6902F7CA" w14:textId="77777777" w:rsidR="008423E4" w:rsidRPr="00742794" w:rsidRDefault="008423E4" w:rsidP="00496AE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1D9B" w14:paraId="4E5BBF1E" w14:textId="77777777" w:rsidTr="00345119">
        <w:tc>
          <w:tcPr>
            <w:tcW w:w="9576" w:type="dxa"/>
          </w:tcPr>
          <w:p w14:paraId="31E8E311" w14:textId="3B7DE79E" w:rsidR="008423E4" w:rsidRPr="00861995" w:rsidRDefault="00F82537" w:rsidP="00496AED">
            <w:pPr>
              <w:jc w:val="right"/>
            </w:pPr>
            <w:r>
              <w:t>H.B. 4449</w:t>
            </w:r>
          </w:p>
        </w:tc>
      </w:tr>
      <w:tr w:rsidR="00171D9B" w14:paraId="485DFEA4" w14:textId="77777777" w:rsidTr="00345119">
        <w:tc>
          <w:tcPr>
            <w:tcW w:w="9576" w:type="dxa"/>
          </w:tcPr>
          <w:p w14:paraId="30BFC7BA" w14:textId="712D7BC2" w:rsidR="008423E4" w:rsidRPr="00861995" w:rsidRDefault="00F82537" w:rsidP="00496AED">
            <w:pPr>
              <w:jc w:val="right"/>
            </w:pPr>
            <w:r>
              <w:t xml:space="preserve">By: </w:t>
            </w:r>
            <w:r w:rsidR="00817F8E">
              <w:t>Reynolds</w:t>
            </w:r>
          </w:p>
        </w:tc>
      </w:tr>
      <w:tr w:rsidR="00171D9B" w14:paraId="3D10AEBC" w14:textId="77777777" w:rsidTr="00345119">
        <w:tc>
          <w:tcPr>
            <w:tcW w:w="9576" w:type="dxa"/>
          </w:tcPr>
          <w:p w14:paraId="58FEABC6" w14:textId="4B9D7E86" w:rsidR="008423E4" w:rsidRPr="00861995" w:rsidRDefault="00F82537" w:rsidP="00496AED">
            <w:pPr>
              <w:jc w:val="right"/>
            </w:pPr>
            <w:r>
              <w:t>Youth Health &amp; Safety, Select</w:t>
            </w:r>
          </w:p>
        </w:tc>
      </w:tr>
      <w:tr w:rsidR="00171D9B" w14:paraId="241B6003" w14:textId="77777777" w:rsidTr="00345119">
        <w:tc>
          <w:tcPr>
            <w:tcW w:w="9576" w:type="dxa"/>
          </w:tcPr>
          <w:p w14:paraId="440C3A0A" w14:textId="76BB3877" w:rsidR="008423E4" w:rsidRDefault="00F82537" w:rsidP="00496AED">
            <w:pPr>
              <w:jc w:val="right"/>
            </w:pPr>
            <w:r>
              <w:t>Committee Report (Unamended)</w:t>
            </w:r>
          </w:p>
        </w:tc>
      </w:tr>
    </w:tbl>
    <w:p w14:paraId="493F066A" w14:textId="77777777" w:rsidR="008423E4" w:rsidRDefault="008423E4" w:rsidP="00496AED">
      <w:pPr>
        <w:tabs>
          <w:tab w:val="right" w:pos="9360"/>
        </w:tabs>
      </w:pPr>
    </w:p>
    <w:p w14:paraId="11E5FA9C" w14:textId="77777777" w:rsidR="008423E4" w:rsidRDefault="008423E4" w:rsidP="00496AED"/>
    <w:p w14:paraId="3ECBEDF1" w14:textId="77777777" w:rsidR="008423E4" w:rsidRDefault="008423E4" w:rsidP="00496AE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1D9B" w14:paraId="3A831C74" w14:textId="77777777" w:rsidTr="00345119">
        <w:tc>
          <w:tcPr>
            <w:tcW w:w="9576" w:type="dxa"/>
          </w:tcPr>
          <w:p w14:paraId="30740407" w14:textId="77777777" w:rsidR="008423E4" w:rsidRPr="00A8133F" w:rsidRDefault="00F82537" w:rsidP="00496A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CB5356" w14:textId="77777777" w:rsidR="008423E4" w:rsidRDefault="008423E4" w:rsidP="00496AED"/>
          <w:p w14:paraId="2C48FF6E" w14:textId="4C062180" w:rsidR="008423E4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3B65">
              <w:t xml:space="preserve">Over the </w:t>
            </w:r>
            <w:r w:rsidR="00014624">
              <w:t>p</w:t>
            </w:r>
            <w:r w:rsidR="00014624" w:rsidRPr="00A53B65">
              <w:t xml:space="preserve">ast </w:t>
            </w:r>
            <w:r w:rsidRPr="00A53B65">
              <w:t xml:space="preserve">several decades, </w:t>
            </w:r>
            <w:r w:rsidR="003E3E16">
              <w:t>Chapter 37 of the Education Code, relating to</w:t>
            </w:r>
            <w:r w:rsidR="009321F4">
              <w:t xml:space="preserve"> school discipline and safety</w:t>
            </w:r>
            <w:r w:rsidR="003E3E16">
              <w:t>,</w:t>
            </w:r>
            <w:r w:rsidRPr="00A53B65">
              <w:t xml:space="preserve"> ha</w:t>
            </w:r>
            <w:r w:rsidR="003E3E16">
              <w:t>s</w:t>
            </w:r>
            <w:r w:rsidRPr="00A53B65">
              <w:t xml:space="preserve"> been amended several times in response to various crises and concerns. While many of these changes are well-intended, in practice the </w:t>
            </w:r>
            <w:r w:rsidR="00DA75D3">
              <w:t xml:space="preserve">law </w:t>
            </w:r>
            <w:r w:rsidRPr="00A53B65">
              <w:t>has become confusing and in some places conflicting</w:t>
            </w:r>
            <w:r w:rsidR="00057E83">
              <w:t>,</w:t>
            </w:r>
            <w:r w:rsidRPr="00A53B65">
              <w:t xml:space="preserve"> particularly with respect to t</w:t>
            </w:r>
            <w:r w:rsidRPr="00A53B65">
              <w:t xml:space="preserve">he use of exclusionary discipline practices like </w:t>
            </w:r>
            <w:r w:rsidR="00DA75D3">
              <w:t>d</w:t>
            </w:r>
            <w:r w:rsidRPr="00A53B65">
              <w:t xml:space="preserve">isciplinary </w:t>
            </w:r>
            <w:r w:rsidR="00DA75D3">
              <w:t>a</w:t>
            </w:r>
            <w:r w:rsidRPr="00A53B65">
              <w:t xml:space="preserve">lternative </w:t>
            </w:r>
            <w:r w:rsidR="00DA75D3">
              <w:t>e</w:t>
            </w:r>
            <w:r w:rsidRPr="00A53B65">
              <w:t xml:space="preserve">ducation </w:t>
            </w:r>
            <w:r w:rsidR="00DA75D3">
              <w:t>p</w:t>
            </w:r>
            <w:r w:rsidRPr="00A53B65">
              <w:t xml:space="preserve">rograms. </w:t>
            </w:r>
            <w:r w:rsidR="009321F4">
              <w:t xml:space="preserve">These programs were first authorized in </w:t>
            </w:r>
            <w:r w:rsidR="00A62F5D" w:rsidRPr="00A53B65">
              <w:t>1995</w:t>
            </w:r>
            <w:r w:rsidR="009321F4">
              <w:t>, and t</w:t>
            </w:r>
            <w:r w:rsidRPr="00A53B65">
              <w:t xml:space="preserve">he 89th </w:t>
            </w:r>
            <w:r w:rsidRPr="00075944">
              <w:t xml:space="preserve">Legislative </w:t>
            </w:r>
            <w:r w:rsidR="001F052D" w:rsidRPr="00075944">
              <w:t>S</w:t>
            </w:r>
            <w:r w:rsidRPr="00075944">
              <w:t>ession</w:t>
            </w:r>
            <w:r w:rsidRPr="00A53B65">
              <w:t xml:space="preserve"> will mark 30 years since </w:t>
            </w:r>
            <w:r w:rsidR="001C084E">
              <w:t>the</w:t>
            </w:r>
            <w:r w:rsidR="009321F4">
              <w:t>ir implementation</w:t>
            </w:r>
            <w:r w:rsidR="00A62F5D">
              <w:t xml:space="preserve">. </w:t>
            </w:r>
            <w:r w:rsidR="005F34C4">
              <w:t xml:space="preserve">H.B. 4449 takes a step toward updating the law </w:t>
            </w:r>
            <w:r w:rsidR="00DA4232">
              <w:t xml:space="preserve">to make </w:t>
            </w:r>
            <w:r w:rsidR="005F34C4">
              <w:t xml:space="preserve">it more </w:t>
            </w:r>
            <w:r w:rsidRPr="00A53B65">
              <w:t>equitable for all students and in alignment with current research and student, family, and educator needs</w:t>
            </w:r>
            <w:r w:rsidR="005F34C4">
              <w:t xml:space="preserve"> by creating</w:t>
            </w:r>
            <w:r w:rsidR="001F052D">
              <w:t xml:space="preserve"> a taskforce </w:t>
            </w:r>
            <w:r w:rsidR="003E3E16">
              <w:t>to study</w:t>
            </w:r>
            <w:r w:rsidR="005F34C4">
              <w:t>, evaluate,</w:t>
            </w:r>
            <w:r w:rsidR="003E3E16">
              <w:t xml:space="preserve"> and make recommendations for </w:t>
            </w:r>
            <w:r w:rsidR="005F34C4" w:rsidRPr="005F34C4">
              <w:t>policies and practices relating to student discipline</w:t>
            </w:r>
            <w:r w:rsidR="005F34C4">
              <w:t>.</w:t>
            </w:r>
            <w:r w:rsidRPr="00A53B65">
              <w:t xml:space="preserve"> </w:t>
            </w:r>
          </w:p>
          <w:p w14:paraId="077BFC1A" w14:textId="77777777" w:rsidR="008423E4" w:rsidRPr="00E26B13" w:rsidRDefault="008423E4" w:rsidP="00496AED">
            <w:pPr>
              <w:rPr>
                <w:b/>
              </w:rPr>
            </w:pPr>
          </w:p>
        </w:tc>
      </w:tr>
      <w:tr w:rsidR="00171D9B" w14:paraId="6726EB36" w14:textId="77777777" w:rsidTr="00345119">
        <w:tc>
          <w:tcPr>
            <w:tcW w:w="9576" w:type="dxa"/>
          </w:tcPr>
          <w:p w14:paraId="52E77205" w14:textId="77777777" w:rsidR="0017725B" w:rsidRDefault="00F82537" w:rsidP="00496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0E0887" w14:textId="77777777" w:rsidR="0017725B" w:rsidRDefault="0017725B" w:rsidP="00496AED">
            <w:pPr>
              <w:rPr>
                <w:b/>
                <w:u w:val="single"/>
              </w:rPr>
            </w:pPr>
          </w:p>
          <w:p w14:paraId="4598F981" w14:textId="18A8AF3E" w:rsidR="00B34B83" w:rsidRPr="00B34B83" w:rsidRDefault="00F82537" w:rsidP="00496AE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FC156AC" w14:textId="77777777" w:rsidR="0017725B" w:rsidRPr="0017725B" w:rsidRDefault="0017725B" w:rsidP="00496AED">
            <w:pPr>
              <w:rPr>
                <w:b/>
                <w:u w:val="single"/>
              </w:rPr>
            </w:pPr>
          </w:p>
        </w:tc>
      </w:tr>
      <w:tr w:rsidR="00171D9B" w14:paraId="425C871F" w14:textId="77777777" w:rsidTr="00345119">
        <w:tc>
          <w:tcPr>
            <w:tcW w:w="9576" w:type="dxa"/>
          </w:tcPr>
          <w:p w14:paraId="5B1A51A7" w14:textId="77777777" w:rsidR="008423E4" w:rsidRPr="00A8133F" w:rsidRDefault="00F82537" w:rsidP="00496A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BB681C" w14:textId="77777777" w:rsidR="008423E4" w:rsidRDefault="008423E4" w:rsidP="00496AED"/>
          <w:p w14:paraId="1B9F3E95" w14:textId="47309938" w:rsidR="00B34B83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DC03922" w14:textId="77777777" w:rsidR="008423E4" w:rsidRPr="00E21FDC" w:rsidRDefault="008423E4" w:rsidP="00496AED">
            <w:pPr>
              <w:rPr>
                <w:b/>
              </w:rPr>
            </w:pPr>
          </w:p>
        </w:tc>
      </w:tr>
      <w:tr w:rsidR="00171D9B" w14:paraId="4F87474D" w14:textId="77777777" w:rsidTr="00345119">
        <w:tc>
          <w:tcPr>
            <w:tcW w:w="9576" w:type="dxa"/>
          </w:tcPr>
          <w:p w14:paraId="72B88BD2" w14:textId="77777777" w:rsidR="008423E4" w:rsidRPr="00A8133F" w:rsidRDefault="00F82537" w:rsidP="00496A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D8F625" w14:textId="77777777" w:rsidR="008423E4" w:rsidRDefault="008423E4" w:rsidP="00496AED"/>
          <w:p w14:paraId="1A67B0DA" w14:textId="21C5ABCB" w:rsidR="009C36CD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4449 </w:t>
            </w:r>
            <w:r w:rsidR="008C33CD">
              <w:t>establishes</w:t>
            </w:r>
            <w:r w:rsidR="0001696F">
              <w:t xml:space="preserve"> </w:t>
            </w:r>
            <w:r w:rsidR="003E427E">
              <w:t>a task force to</w:t>
            </w:r>
            <w:r w:rsidR="003E427E" w:rsidRPr="003E427E">
              <w:t xml:space="preserve"> study, evaluate, and make recommendations for policies and practices relating to student discipline in public schools in </w:t>
            </w:r>
            <w:r w:rsidR="003E427E">
              <w:t>Texas.</w:t>
            </w:r>
            <w:r w:rsidR="009D0981">
              <w:t xml:space="preserve"> </w:t>
            </w:r>
            <w:r w:rsidR="003F6C1F" w:rsidRPr="003F6C1F">
              <w:t>The</w:t>
            </w:r>
            <w:r w:rsidR="003F6C1F">
              <w:t xml:space="preserve"> bill </w:t>
            </w:r>
            <w:r w:rsidR="0001696F">
              <w:t xml:space="preserve">requires the task force to </w:t>
            </w:r>
            <w:r w:rsidR="009D0981" w:rsidRPr="009D0981">
              <w:t>consist of</w:t>
            </w:r>
            <w:r w:rsidR="009D0981">
              <w:t xml:space="preserve"> the following members</w:t>
            </w:r>
            <w:r w:rsidR="009D0981" w:rsidRPr="009D0981">
              <w:t>:</w:t>
            </w:r>
          </w:p>
          <w:p w14:paraId="74F2E299" w14:textId="38079B52" w:rsidR="009D0981" w:rsidRDefault="00F82537" w:rsidP="00496AE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commissioner of education or the </w:t>
            </w:r>
            <w:r>
              <w:t>commissioner's designee;</w:t>
            </w:r>
          </w:p>
          <w:p w14:paraId="0F12EED6" w14:textId="375C5932" w:rsidR="009D0981" w:rsidRDefault="00F82537" w:rsidP="00496AE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following members appointed by the commissioner:</w:t>
            </w:r>
          </w:p>
          <w:p w14:paraId="039F28B2" w14:textId="1133E315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two parents of students enrolled in a public school;</w:t>
            </w:r>
          </w:p>
          <w:p w14:paraId="03C7C01B" w14:textId="0E9B58A6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two administrators of a public school;</w:t>
            </w:r>
          </w:p>
          <w:p w14:paraId="1A68245D" w14:textId="3595591A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two </w:t>
            </w:r>
            <w:r w:rsidR="008A694D">
              <w:t xml:space="preserve">certified </w:t>
            </w:r>
            <w:r>
              <w:t>educators employed by a public school;</w:t>
            </w:r>
          </w:p>
          <w:p w14:paraId="13B55AEE" w14:textId="6CD6B3D2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person who is</w:t>
            </w:r>
            <w:r w:rsidR="00EE069E">
              <w:t xml:space="preserve"> either </w:t>
            </w:r>
            <w:r>
              <w:t>a licensed</w:t>
            </w:r>
            <w:r>
              <w:t xml:space="preserve"> clinical social </w:t>
            </w:r>
            <w:r w:rsidR="008A694D">
              <w:t>worker</w:t>
            </w:r>
            <w:r w:rsidR="0001696F">
              <w:t xml:space="preserve"> or</w:t>
            </w:r>
            <w:r>
              <w:t xml:space="preserve"> </w:t>
            </w:r>
            <w:r w:rsidR="0001696F">
              <w:t xml:space="preserve">a </w:t>
            </w:r>
            <w:r>
              <w:t>certified school counselor</w:t>
            </w:r>
            <w:r w:rsidR="008A694D">
              <w:t>;</w:t>
            </w:r>
          </w:p>
          <w:p w14:paraId="2D0454BF" w14:textId="1BF8F37E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licensed specialist in school psychology</w:t>
            </w:r>
            <w:r w:rsidR="008A694D">
              <w:t>;</w:t>
            </w:r>
          </w:p>
          <w:p w14:paraId="57FC4670" w14:textId="78098A8A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two people with expertise in school safety and school discipline in </w:t>
            </w:r>
            <w:r w:rsidR="008A694D">
              <w:t>Texas</w:t>
            </w:r>
            <w:r>
              <w:t>;</w:t>
            </w:r>
          </w:p>
          <w:p w14:paraId="6D0D560B" w14:textId="51A24C61" w:rsidR="009D0981" w:rsidRDefault="00F82537" w:rsidP="00496AE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representative from the Texas School Safety Center;</w:t>
            </w:r>
            <w:r w:rsidR="0053514D">
              <w:t xml:space="preserve"> and</w:t>
            </w:r>
          </w:p>
          <w:p w14:paraId="5781D9DA" w14:textId="13E2C3CA" w:rsidR="009D0981" w:rsidRDefault="00F82537" w:rsidP="00496AE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EE069E">
              <w:t xml:space="preserve">licensed </w:t>
            </w:r>
            <w:r>
              <w:t>behavior an</w:t>
            </w:r>
            <w:r>
              <w:t>alyst; and</w:t>
            </w:r>
          </w:p>
          <w:p w14:paraId="2B082EFC" w14:textId="688E5A45" w:rsidR="00847F06" w:rsidRDefault="00F82537" w:rsidP="00496AE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8222F">
              <w:t>one additional member appointed by the task force to represent each additional organization, group, or agency that the task force determines would make necessary or helpful contributions.</w:t>
            </w:r>
          </w:p>
          <w:p w14:paraId="3829E707" w14:textId="297B5F60" w:rsidR="00847F06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commissioner or the commissioner's </w:t>
            </w:r>
            <w:r>
              <w:t>designee to serve as the presiding officer of the task force</w:t>
            </w:r>
            <w:r w:rsidR="00057E83">
              <w:t xml:space="preserve"> and</w:t>
            </w:r>
            <w:r w:rsidR="00D62A12" w:rsidRPr="00E52E40">
              <w:t xml:space="preserve"> requires the task force to meet at the times and places that the presiding officer determines appropriate. The task force may meet at an education research center.</w:t>
            </w:r>
          </w:p>
          <w:p w14:paraId="749B9685" w14:textId="0FEA6B8C" w:rsidR="00EE069E" w:rsidRDefault="00EE069E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ED7288" w14:textId="7D06AA35" w:rsidR="00B67C77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4449 requires the </w:t>
            </w:r>
            <w:r w:rsidRPr="00B67C77">
              <w:t>tas</w:t>
            </w:r>
            <w:r w:rsidRPr="00B67C77">
              <w:t xml:space="preserve">k force </w:t>
            </w:r>
            <w:r>
              <w:t>to</w:t>
            </w:r>
            <w:r w:rsidRPr="00B67C77">
              <w:t xml:space="preserve"> conduct a study to examine school discipline practices and policies in public schools throughout </w:t>
            </w:r>
            <w:r>
              <w:t>Texas</w:t>
            </w:r>
            <w:r w:rsidR="00847F06">
              <w:t>.</w:t>
            </w:r>
            <w:r>
              <w:t xml:space="preserve"> </w:t>
            </w:r>
            <w:r w:rsidR="00847F06">
              <w:t xml:space="preserve">The study must </w:t>
            </w:r>
            <w:r>
              <w:t>include the following</w:t>
            </w:r>
            <w:r w:rsidR="00F02D73">
              <w:t>:</w:t>
            </w:r>
          </w:p>
          <w:p w14:paraId="7880E770" w14:textId="0863EFE8" w:rsidR="00A71A66" w:rsidRDefault="00F82537" w:rsidP="00496AE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identification of the exclusionary and punitive disciplinary practices and procedures used in </w:t>
            </w:r>
            <w:r>
              <w:t>public schools</w:t>
            </w:r>
            <w:r w:rsidR="00F953B6">
              <w:t>, as specified by the bill</w:t>
            </w:r>
            <w:r>
              <w:t>;</w:t>
            </w:r>
          </w:p>
          <w:p w14:paraId="043BB624" w14:textId="3832907B" w:rsidR="00A71A66" w:rsidRDefault="00F82537" w:rsidP="00496AE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identification of the alternative disciplinary practices and procedures that are age-appropriate and research-based and focus on conflict resolution strategies to keep students engaged in the classroom that are </w:t>
            </w:r>
            <w:r>
              <w:t>used in public schools, including positive behavior programs;</w:t>
            </w:r>
          </w:p>
          <w:p w14:paraId="01C73FB3" w14:textId="15AED24A" w:rsidR="00A71A66" w:rsidRDefault="00F82537" w:rsidP="00496AE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analysis of the </w:t>
            </w:r>
            <w:r w:rsidR="007912DE">
              <w:t xml:space="preserve">exclusionary and punitive disciplinary </w:t>
            </w:r>
            <w:r>
              <w:t xml:space="preserve">practices and procedures </w:t>
            </w:r>
            <w:r w:rsidR="007912DE">
              <w:t xml:space="preserve">identified </w:t>
            </w:r>
            <w:r w:rsidR="00520ACB">
              <w:t xml:space="preserve">by the </w:t>
            </w:r>
            <w:r w:rsidR="008A0B8A">
              <w:t>study</w:t>
            </w:r>
            <w:r w:rsidR="00520ACB">
              <w:t xml:space="preserve">, </w:t>
            </w:r>
            <w:r>
              <w:t xml:space="preserve">disaggregated based on </w:t>
            </w:r>
            <w:r w:rsidR="00520ACB">
              <w:t xml:space="preserve">specified </w:t>
            </w:r>
            <w:r>
              <w:t>student demographics;</w:t>
            </w:r>
          </w:p>
          <w:p w14:paraId="58C63977" w14:textId="434699B8" w:rsidR="00AB6C3F" w:rsidRDefault="00F82537" w:rsidP="00496AE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examination of </w:t>
            </w:r>
            <w:r w:rsidR="00520ACB">
              <w:t xml:space="preserve">all the </w:t>
            </w:r>
            <w:r>
              <w:t xml:space="preserve">practices and policies </w:t>
            </w:r>
            <w:r w:rsidR="00520ACB">
              <w:t xml:space="preserve">identified by the </w:t>
            </w:r>
            <w:r w:rsidR="008A0B8A">
              <w:t>study</w:t>
            </w:r>
            <w:r w:rsidR="00520ACB">
              <w:t xml:space="preserve"> </w:t>
            </w:r>
            <w:r>
              <w:t xml:space="preserve">for </w:t>
            </w:r>
            <w:r w:rsidR="00F02D73">
              <w:t>determining</w:t>
            </w:r>
            <w:r>
              <w:t xml:space="preserve"> the following:</w:t>
            </w:r>
            <w:r w:rsidR="00F02D73">
              <w:t xml:space="preserve"> </w:t>
            </w:r>
          </w:p>
          <w:p w14:paraId="419DBB63" w14:textId="670F3428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how the use of disciplinary practices varies among independent school districts and open-enrollment charter schools, particularly among schools of simi</w:t>
            </w:r>
            <w:r>
              <w:t>lar size and student characteristics;</w:t>
            </w:r>
          </w:p>
          <w:p w14:paraId="0AB6D20F" w14:textId="34C11F75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due process rights provided by schools to students and families in school disciplinary proceedings;</w:t>
            </w:r>
          </w:p>
          <w:p w14:paraId="375E8A6F" w14:textId="4A9B76D2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challenges students and families face in understanding and navigating school disciplinary proceedings;</w:t>
            </w:r>
          </w:p>
          <w:p w14:paraId="115E96A6" w14:textId="166FEE66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imp</w:t>
            </w:r>
            <w:r>
              <w:t>act removing a student from school or instruction has on the student and the broader school community;</w:t>
            </w:r>
          </w:p>
          <w:p w14:paraId="6C65E5AE" w14:textId="5B109333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protections afforded to students with diagnosed or undetected disabilities in disciplinary practices;</w:t>
            </w:r>
          </w:p>
          <w:p w14:paraId="75B3EDF1" w14:textId="304B0698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challenges students with diagnosed or undet</w:t>
            </w:r>
            <w:r>
              <w:t xml:space="preserve">ected disabilities face when subjected to </w:t>
            </w:r>
            <w:r w:rsidR="000069C4">
              <w:t>certain disciplinary practices</w:t>
            </w:r>
            <w:r>
              <w:t>;</w:t>
            </w:r>
          </w:p>
          <w:p w14:paraId="58F502CA" w14:textId="45E329DD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impacts mental and behavioral health challenges have on student behavior;</w:t>
            </w:r>
          </w:p>
          <w:p w14:paraId="19744E68" w14:textId="2F1C97BF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current law and relevant regulations permitting or requiring a school to account for a student's men</w:t>
            </w:r>
            <w:r>
              <w:t>tal or behavioral health when making disciplinary decisions;</w:t>
            </w:r>
          </w:p>
          <w:p w14:paraId="36143661" w14:textId="355BF4ED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how frequently independent school districts and </w:t>
            </w:r>
            <w:r w:rsidR="00E52E40">
              <w:t xml:space="preserve">open-enrollment </w:t>
            </w:r>
            <w:r>
              <w:t xml:space="preserve">charter schools implement alternative disciplinary practices and policies identified </w:t>
            </w:r>
            <w:r w:rsidR="000069C4">
              <w:t>by the study</w:t>
            </w:r>
            <w:r>
              <w:t>;</w:t>
            </w:r>
          </w:p>
          <w:p w14:paraId="2DB0EDA0" w14:textId="0C7812BB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challenges independent schoo</w:t>
            </w:r>
            <w:r>
              <w:t xml:space="preserve">l districts and open-enrollment charter schools face in implementing alternative disciplinary practices and policies identified </w:t>
            </w:r>
            <w:r w:rsidR="000069C4">
              <w:t>by the study</w:t>
            </w:r>
            <w:r>
              <w:t>;</w:t>
            </w:r>
          </w:p>
          <w:p w14:paraId="3CCB1F50" w14:textId="69E248BB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systems in place to monitor and support school districts and open-enrollment charter schools in implementing a</w:t>
            </w:r>
            <w:r>
              <w:t xml:space="preserve">lternative disciplinary practices and policies identified </w:t>
            </w:r>
            <w:r w:rsidR="000069C4">
              <w:t>by the study</w:t>
            </w:r>
            <w:r>
              <w:t>;</w:t>
            </w:r>
          </w:p>
          <w:p w14:paraId="050BB7C4" w14:textId="4B7BCA64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number of school districts that have implemented</w:t>
            </w:r>
            <w:r w:rsidR="000069C4">
              <w:t xml:space="preserve"> </w:t>
            </w:r>
            <w:r>
              <w:t>a positive behavior program or</w:t>
            </w:r>
            <w:r w:rsidR="000069C4">
              <w:t xml:space="preserve"> </w:t>
            </w:r>
            <w:r>
              <w:t>a program for graduated sanctions for certain school offenses;</w:t>
            </w:r>
          </w:p>
          <w:p w14:paraId="4ED0DE37" w14:textId="6C14F37C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for each </w:t>
            </w:r>
            <w:r w:rsidR="000069C4">
              <w:t>such positive behavior program or program for graduated sanctions</w:t>
            </w:r>
            <w:r>
              <w:t>: the method with which the program is implemented</w:t>
            </w:r>
            <w:r w:rsidR="000069C4">
              <w:t xml:space="preserve">, </w:t>
            </w:r>
            <w:r>
              <w:t>the challenges that made implementation difficult</w:t>
            </w:r>
            <w:r w:rsidR="000069C4">
              <w:t xml:space="preserve">, </w:t>
            </w:r>
            <w:r>
              <w:t>the systems in place to monitor and support the program</w:t>
            </w:r>
            <w:r w:rsidR="000069C4">
              <w:t xml:space="preserve">, </w:t>
            </w:r>
            <w:r>
              <w:t>whether and to what extent the implementation of the progra</w:t>
            </w:r>
            <w:r>
              <w:t xml:space="preserve">m has reduced the district's reliance on </w:t>
            </w:r>
            <w:r w:rsidR="000069C4">
              <w:t xml:space="preserve">exclusionary and punitive </w:t>
            </w:r>
            <w:r>
              <w:t>disciplinary practices and policies</w:t>
            </w:r>
            <w:r w:rsidR="00E247F4">
              <w:t xml:space="preserve"> identified by the study,</w:t>
            </w:r>
            <w:r>
              <w:t xml:space="preserve"> and</w:t>
            </w:r>
            <w:r w:rsidR="000069C4">
              <w:t xml:space="preserve"> </w:t>
            </w:r>
            <w:r>
              <w:t>whether the programs have reduced the incidence of behavioral complaints by students and teachers in the district;</w:t>
            </w:r>
          </w:p>
          <w:p w14:paraId="49B40384" w14:textId="2F122938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dutie</w:t>
            </w:r>
            <w:r>
              <w:t>s typically performed by a campus behavior coordinator;</w:t>
            </w:r>
          </w:p>
          <w:p w14:paraId="4DF7E6BF" w14:textId="1444283C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strategies campus behavior coordinators use to reduce a reliance on </w:t>
            </w:r>
            <w:r w:rsidR="000069C4">
              <w:t xml:space="preserve">exclusionary </w:t>
            </w:r>
            <w:r w:rsidR="00E247F4">
              <w:t xml:space="preserve">and punitive </w:t>
            </w:r>
            <w:r>
              <w:t>disciplinary practices and policies</w:t>
            </w:r>
            <w:r w:rsidR="00E247F4">
              <w:t xml:space="preserve"> identified by the study</w:t>
            </w:r>
            <w:r>
              <w:t>;</w:t>
            </w:r>
          </w:p>
          <w:p w14:paraId="79C17464" w14:textId="2409BFC4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resources and training to which educa</w:t>
            </w:r>
            <w:r>
              <w:t xml:space="preserve">tors have access regarding the </w:t>
            </w:r>
            <w:r w:rsidR="00E247F4">
              <w:t xml:space="preserve">alternative </w:t>
            </w:r>
            <w:r>
              <w:t xml:space="preserve">disciplinary practices and policies identified </w:t>
            </w:r>
            <w:r w:rsidR="00E247F4">
              <w:t>by the study</w:t>
            </w:r>
            <w:r>
              <w:t>;</w:t>
            </w:r>
          </w:p>
          <w:p w14:paraId="12DA178E" w14:textId="695CECBE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resources and training educators lack relating to </w:t>
            </w:r>
            <w:r w:rsidR="00E247F4">
              <w:t xml:space="preserve">alternative </w:t>
            </w:r>
            <w:r>
              <w:t xml:space="preserve">disciplinary practices and policies identified </w:t>
            </w:r>
            <w:r w:rsidR="00E247F4">
              <w:t>by the study</w:t>
            </w:r>
            <w:r>
              <w:t>;</w:t>
            </w:r>
          </w:p>
          <w:p w14:paraId="79DAE140" w14:textId="20BB3561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how the COVID-19 </w:t>
            </w:r>
            <w:r>
              <w:t>pandemic and remote learning impacted student behavior and school disciplinary resources;</w:t>
            </w:r>
          </w:p>
          <w:p w14:paraId="6F58E79C" w14:textId="46CC51E5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whether there are gaps in current data collection methods relating to the disciplinary practices and policies identified </w:t>
            </w:r>
            <w:r w:rsidR="00E247F4">
              <w:t>by the study</w:t>
            </w:r>
            <w:r>
              <w:t>, that if corrected, would aid as</w:t>
            </w:r>
            <w:r>
              <w:t>sessment of disciplinary practices;</w:t>
            </w:r>
          </w:p>
          <w:p w14:paraId="42406D43" w14:textId="746404A7" w:rsidR="00AB6C3F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manner and frequency of use of informal disciplinary practices and policies in public schools, including unreported out-of-school suspensions, early parent pick-ups, silent lunches, exclusion from recess, time-out, a</w:t>
            </w:r>
            <w:r>
              <w:t>nd removal</w:t>
            </w:r>
            <w:r w:rsidR="00E247F4">
              <w:t xml:space="preserve"> of a student</w:t>
            </w:r>
            <w:r>
              <w:t xml:space="preserve"> by a teacher</w:t>
            </w:r>
            <w:r w:rsidR="00E247F4">
              <w:t xml:space="preserve"> as authorized under state law</w:t>
            </w:r>
            <w:r>
              <w:t>; and</w:t>
            </w:r>
          </w:p>
          <w:p w14:paraId="53E3677B" w14:textId="7A5FB31E" w:rsidR="00A71A66" w:rsidRDefault="00F82537" w:rsidP="00496AE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frequency with which restraint </w:t>
            </w:r>
            <w:r w:rsidR="00517273">
              <w:t xml:space="preserve">is </w:t>
            </w:r>
            <w:r>
              <w:t>used on students as a disciplinary measure;</w:t>
            </w:r>
            <w:r w:rsidR="00F02D73">
              <w:t xml:space="preserve"> and </w:t>
            </w:r>
          </w:p>
          <w:p w14:paraId="4FC415F1" w14:textId="40C5E2B7" w:rsidR="00A71A66" w:rsidRDefault="00F82537" w:rsidP="00496A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examination of the manner in which current laws and practices interact with and affect student discipline in </w:t>
            </w:r>
            <w:r w:rsidR="00F02D73">
              <w:t>Texas</w:t>
            </w:r>
            <w:r w:rsidR="00F953B6">
              <w:t>, as specified by the bill</w:t>
            </w:r>
            <w:r w:rsidR="00F02D73">
              <w:t>.</w:t>
            </w:r>
          </w:p>
          <w:p w14:paraId="50C87D35" w14:textId="77777777" w:rsidR="00A71A66" w:rsidRDefault="00A71A66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6E45FC" w14:textId="4A8F893D" w:rsidR="00700313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4449 requires </w:t>
            </w:r>
            <w:r w:rsidRPr="00700313">
              <w:t>the task force</w:t>
            </w:r>
            <w:r w:rsidR="00D62A12">
              <w:t>, based on the results of the study,</w:t>
            </w:r>
            <w:r w:rsidRPr="00700313">
              <w:t xml:space="preserve"> </w:t>
            </w:r>
            <w:r>
              <w:t>to</w:t>
            </w:r>
            <w:r w:rsidRPr="00700313">
              <w:t xml:space="preserve"> recommend changes to current law and </w:t>
            </w:r>
            <w:r w:rsidRPr="00700313">
              <w:t xml:space="preserve">regulations to improve student disciplinary practices and policies in public schools in </w:t>
            </w:r>
            <w:r>
              <w:t xml:space="preserve">Texas. The task force, in completing the study and recommendations, must </w:t>
            </w:r>
            <w:r w:rsidRPr="00700313">
              <w:t>seek feedback from students, families, and educators</w:t>
            </w:r>
            <w:r w:rsidR="00D62A12">
              <w:t xml:space="preserve"> and</w:t>
            </w:r>
            <w:r>
              <w:t xml:space="preserve"> </w:t>
            </w:r>
            <w:r w:rsidRPr="00700313">
              <w:t>include that feedback in its report</w:t>
            </w:r>
            <w:r>
              <w:t xml:space="preserve"> to</w:t>
            </w:r>
            <w:r>
              <w:t xml:space="preserve"> the legislature. The bill authorizes the task force to </w:t>
            </w:r>
            <w:r w:rsidRPr="00700313">
              <w:t>use money appropriated or otherwise available for the purposes of completing the duties assigned to the task force</w:t>
            </w:r>
            <w:r>
              <w:t>.</w:t>
            </w:r>
          </w:p>
          <w:p w14:paraId="124F8A79" w14:textId="10800B84" w:rsidR="00700313" w:rsidRDefault="00700313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7B23D3" w14:textId="481267FD" w:rsidR="00700313" w:rsidRPr="009C36CD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4449 requires the </w:t>
            </w:r>
            <w:r w:rsidRPr="00700313">
              <w:t>task force</w:t>
            </w:r>
            <w:r>
              <w:t>, no</w:t>
            </w:r>
            <w:r w:rsidR="008C33CD">
              <w:t>t</w:t>
            </w:r>
            <w:r>
              <w:t xml:space="preserve"> later than </w:t>
            </w:r>
            <w:r w:rsidRPr="00700313">
              <w:t>December 1, 2024</w:t>
            </w:r>
            <w:r>
              <w:t xml:space="preserve">, </w:t>
            </w:r>
            <w:r w:rsidR="008C33CD">
              <w:t xml:space="preserve">to </w:t>
            </w:r>
            <w:r w:rsidR="00444C17" w:rsidRPr="00444C17">
              <w:t>prepare and submit to the legislature a written report that includes the findings from the study and the recommendations developed by the task force</w:t>
            </w:r>
            <w:r w:rsidR="00444C17">
              <w:t xml:space="preserve">. The </w:t>
            </w:r>
            <w:r w:rsidR="00B46B15">
              <w:t xml:space="preserve">bill abolishes the task force and </w:t>
            </w:r>
            <w:r w:rsidR="00444C17">
              <w:t xml:space="preserve">its provisions expire </w:t>
            </w:r>
            <w:r w:rsidR="00444C17" w:rsidRPr="00444C17">
              <w:t>September 1, 2025.</w:t>
            </w:r>
          </w:p>
          <w:p w14:paraId="16F852A5" w14:textId="77777777" w:rsidR="008423E4" w:rsidRPr="00835628" w:rsidRDefault="008423E4" w:rsidP="00496AED">
            <w:pPr>
              <w:rPr>
                <w:b/>
              </w:rPr>
            </w:pPr>
          </w:p>
        </w:tc>
      </w:tr>
      <w:tr w:rsidR="00171D9B" w14:paraId="14A63F4E" w14:textId="77777777" w:rsidTr="00345119">
        <w:tc>
          <w:tcPr>
            <w:tcW w:w="9576" w:type="dxa"/>
          </w:tcPr>
          <w:p w14:paraId="13C73A21" w14:textId="77777777" w:rsidR="008423E4" w:rsidRPr="00A8133F" w:rsidRDefault="00F82537" w:rsidP="00496A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0DBFB4" w14:textId="77777777" w:rsidR="008423E4" w:rsidRDefault="008423E4" w:rsidP="00496AED"/>
          <w:p w14:paraId="738053AC" w14:textId="45B040CC" w:rsidR="008423E4" w:rsidRPr="003624F2" w:rsidRDefault="00F82537" w:rsidP="00496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</w:t>
            </w:r>
            <w:r>
              <w:t>the bill does not receive the necessary vote, September 1, 2023.</w:t>
            </w:r>
          </w:p>
          <w:p w14:paraId="1D16F448" w14:textId="77777777" w:rsidR="008423E4" w:rsidRPr="00233FDB" w:rsidRDefault="008423E4" w:rsidP="00496AED">
            <w:pPr>
              <w:rPr>
                <w:b/>
              </w:rPr>
            </w:pPr>
          </w:p>
        </w:tc>
      </w:tr>
    </w:tbl>
    <w:p w14:paraId="48D7624F" w14:textId="77777777" w:rsidR="008423E4" w:rsidRPr="00BE0E75" w:rsidRDefault="008423E4" w:rsidP="00496AED">
      <w:pPr>
        <w:jc w:val="both"/>
        <w:rPr>
          <w:rFonts w:ascii="Arial" w:hAnsi="Arial"/>
          <w:sz w:val="16"/>
          <w:szCs w:val="16"/>
        </w:rPr>
      </w:pPr>
    </w:p>
    <w:p w14:paraId="09E35BC6" w14:textId="77777777" w:rsidR="004108C3" w:rsidRPr="008423E4" w:rsidRDefault="004108C3" w:rsidP="00496AE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D365" w14:textId="77777777" w:rsidR="00000000" w:rsidRDefault="00F82537">
      <w:r>
        <w:separator/>
      </w:r>
    </w:p>
  </w:endnote>
  <w:endnote w:type="continuationSeparator" w:id="0">
    <w:p w14:paraId="476011AE" w14:textId="77777777" w:rsidR="00000000" w:rsidRDefault="00F8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B6FE" w14:textId="77777777" w:rsidR="000D1D35" w:rsidRDefault="000D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1D9B" w14:paraId="71CED825" w14:textId="77777777" w:rsidTr="009C1E9A">
      <w:trPr>
        <w:cantSplit/>
      </w:trPr>
      <w:tc>
        <w:tcPr>
          <w:tcW w:w="0" w:type="pct"/>
        </w:tcPr>
        <w:p w14:paraId="0C0E81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9A4C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4F7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6A57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BA1B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1D9B" w14:paraId="2BA44EAF" w14:textId="77777777" w:rsidTr="009C1E9A">
      <w:trPr>
        <w:cantSplit/>
      </w:trPr>
      <w:tc>
        <w:tcPr>
          <w:tcW w:w="0" w:type="pct"/>
        </w:tcPr>
        <w:p w14:paraId="2746FD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722D8D" w14:textId="4CFEC4C4" w:rsidR="00EC379B" w:rsidRPr="009C1E9A" w:rsidRDefault="00F825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27675-D</w:t>
          </w:r>
        </w:p>
      </w:tc>
      <w:tc>
        <w:tcPr>
          <w:tcW w:w="2453" w:type="pct"/>
        </w:tcPr>
        <w:p w14:paraId="5C4A5B7A" w14:textId="334B610A" w:rsidR="00EC379B" w:rsidRDefault="00F825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109E3">
            <w:t>23.121.1212</w:t>
          </w:r>
          <w:r>
            <w:fldChar w:fldCharType="end"/>
          </w:r>
        </w:p>
      </w:tc>
    </w:tr>
    <w:tr w:rsidR="00171D9B" w14:paraId="18B88D2D" w14:textId="77777777" w:rsidTr="009C1E9A">
      <w:trPr>
        <w:cantSplit/>
      </w:trPr>
      <w:tc>
        <w:tcPr>
          <w:tcW w:w="0" w:type="pct"/>
        </w:tcPr>
        <w:p w14:paraId="596B509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0063F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08A9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5367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1D9B" w14:paraId="7A4F43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0CC1F9" w14:textId="77777777" w:rsidR="00EC379B" w:rsidRDefault="00F825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7A6A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EA183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6639" w14:textId="77777777" w:rsidR="000D1D35" w:rsidRDefault="000D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0A0D" w14:textId="77777777" w:rsidR="00000000" w:rsidRDefault="00F82537">
      <w:r>
        <w:separator/>
      </w:r>
    </w:p>
  </w:footnote>
  <w:footnote w:type="continuationSeparator" w:id="0">
    <w:p w14:paraId="46CAFBE1" w14:textId="77777777" w:rsidR="00000000" w:rsidRDefault="00F8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318F" w14:textId="77777777" w:rsidR="000D1D35" w:rsidRDefault="000D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9A55" w14:textId="77777777" w:rsidR="000D1D35" w:rsidRDefault="000D1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5F12" w14:textId="77777777" w:rsidR="000D1D35" w:rsidRDefault="000D1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7A0"/>
    <w:multiLevelType w:val="hybridMultilevel"/>
    <w:tmpl w:val="4F3636CE"/>
    <w:lvl w:ilvl="0" w:tplc="EB387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C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8F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7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48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8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08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1BB4"/>
    <w:multiLevelType w:val="hybridMultilevel"/>
    <w:tmpl w:val="E362A510"/>
    <w:lvl w:ilvl="0" w:tplc="60CCC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A4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CF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A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63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E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E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81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43B6"/>
    <w:multiLevelType w:val="hybridMultilevel"/>
    <w:tmpl w:val="114A9F44"/>
    <w:lvl w:ilvl="0" w:tplc="8B4EB1D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72C0CE64" w:tentative="1">
      <w:start w:val="1"/>
      <w:numFmt w:val="lowerLetter"/>
      <w:lvlText w:val="%2."/>
      <w:lvlJc w:val="left"/>
      <w:pPr>
        <w:ind w:left="1440" w:hanging="360"/>
      </w:pPr>
    </w:lvl>
    <w:lvl w:ilvl="2" w:tplc="527A6766" w:tentative="1">
      <w:start w:val="1"/>
      <w:numFmt w:val="lowerRoman"/>
      <w:lvlText w:val="%3."/>
      <w:lvlJc w:val="right"/>
      <w:pPr>
        <w:ind w:left="2160" w:hanging="180"/>
      </w:pPr>
    </w:lvl>
    <w:lvl w:ilvl="3" w:tplc="14EACABE" w:tentative="1">
      <w:start w:val="1"/>
      <w:numFmt w:val="decimal"/>
      <w:lvlText w:val="%4."/>
      <w:lvlJc w:val="left"/>
      <w:pPr>
        <w:ind w:left="2880" w:hanging="360"/>
      </w:pPr>
    </w:lvl>
    <w:lvl w:ilvl="4" w:tplc="6BF4E600" w:tentative="1">
      <w:start w:val="1"/>
      <w:numFmt w:val="lowerLetter"/>
      <w:lvlText w:val="%5."/>
      <w:lvlJc w:val="left"/>
      <w:pPr>
        <w:ind w:left="3600" w:hanging="360"/>
      </w:pPr>
    </w:lvl>
    <w:lvl w:ilvl="5" w:tplc="539C2346" w:tentative="1">
      <w:start w:val="1"/>
      <w:numFmt w:val="lowerRoman"/>
      <w:lvlText w:val="%6."/>
      <w:lvlJc w:val="right"/>
      <w:pPr>
        <w:ind w:left="4320" w:hanging="180"/>
      </w:pPr>
    </w:lvl>
    <w:lvl w:ilvl="6" w:tplc="88F46BE8" w:tentative="1">
      <w:start w:val="1"/>
      <w:numFmt w:val="decimal"/>
      <w:lvlText w:val="%7."/>
      <w:lvlJc w:val="left"/>
      <w:pPr>
        <w:ind w:left="5040" w:hanging="360"/>
      </w:pPr>
    </w:lvl>
    <w:lvl w:ilvl="7" w:tplc="1988B45C" w:tentative="1">
      <w:start w:val="1"/>
      <w:numFmt w:val="lowerLetter"/>
      <w:lvlText w:val="%8."/>
      <w:lvlJc w:val="left"/>
      <w:pPr>
        <w:ind w:left="5760" w:hanging="360"/>
      </w:pPr>
    </w:lvl>
    <w:lvl w:ilvl="8" w:tplc="E3248E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84403">
    <w:abstractNumId w:val="0"/>
  </w:num>
  <w:num w:numId="2" w16cid:durableId="1336959823">
    <w:abstractNumId w:val="1"/>
  </w:num>
  <w:num w:numId="3" w16cid:durableId="13903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9C"/>
    <w:rsid w:val="00000A70"/>
    <w:rsid w:val="000032B8"/>
    <w:rsid w:val="00003B06"/>
    <w:rsid w:val="000054B9"/>
    <w:rsid w:val="000069C4"/>
    <w:rsid w:val="00007461"/>
    <w:rsid w:val="0001117E"/>
    <w:rsid w:val="0001125F"/>
    <w:rsid w:val="0001338E"/>
    <w:rsid w:val="00013D24"/>
    <w:rsid w:val="00014624"/>
    <w:rsid w:val="00014AF0"/>
    <w:rsid w:val="000155D6"/>
    <w:rsid w:val="00015D4E"/>
    <w:rsid w:val="0001696F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E83"/>
    <w:rsid w:val="000608B0"/>
    <w:rsid w:val="0006104C"/>
    <w:rsid w:val="00064BF2"/>
    <w:rsid w:val="000667BA"/>
    <w:rsid w:val="000676A7"/>
    <w:rsid w:val="00073914"/>
    <w:rsid w:val="00074236"/>
    <w:rsid w:val="000746BD"/>
    <w:rsid w:val="00075944"/>
    <w:rsid w:val="00076D7D"/>
    <w:rsid w:val="00080D95"/>
    <w:rsid w:val="0008222F"/>
    <w:rsid w:val="00090E6B"/>
    <w:rsid w:val="00091B2C"/>
    <w:rsid w:val="00092ABC"/>
    <w:rsid w:val="00097AAF"/>
    <w:rsid w:val="00097D13"/>
    <w:rsid w:val="000A4554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D35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AB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D9B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84E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52D"/>
    <w:rsid w:val="001F3CB8"/>
    <w:rsid w:val="001F6B91"/>
    <w:rsid w:val="001F703C"/>
    <w:rsid w:val="0020027B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D9C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4E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449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B2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0A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147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E16"/>
    <w:rsid w:val="003E427E"/>
    <w:rsid w:val="003E6CB0"/>
    <w:rsid w:val="003F1F5E"/>
    <w:rsid w:val="003F286A"/>
    <w:rsid w:val="003F6C1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C17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AED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9E3"/>
    <w:rsid w:val="0051324D"/>
    <w:rsid w:val="00515466"/>
    <w:rsid w:val="005154F7"/>
    <w:rsid w:val="005159DE"/>
    <w:rsid w:val="00517273"/>
    <w:rsid w:val="00520ACB"/>
    <w:rsid w:val="005269CE"/>
    <w:rsid w:val="005304B2"/>
    <w:rsid w:val="005336BD"/>
    <w:rsid w:val="00534A49"/>
    <w:rsid w:val="0053514D"/>
    <w:rsid w:val="005363BB"/>
    <w:rsid w:val="00541B98"/>
    <w:rsid w:val="00543374"/>
    <w:rsid w:val="00545548"/>
    <w:rsid w:val="00546923"/>
    <w:rsid w:val="00546BE1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18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4C4"/>
    <w:rsid w:val="005F4862"/>
    <w:rsid w:val="005F5679"/>
    <w:rsid w:val="005F5FDF"/>
    <w:rsid w:val="005F6960"/>
    <w:rsid w:val="005F7000"/>
    <w:rsid w:val="005F7AAA"/>
    <w:rsid w:val="00600BAA"/>
    <w:rsid w:val="00600BE1"/>
    <w:rsid w:val="006012DA"/>
    <w:rsid w:val="00603B0F"/>
    <w:rsid w:val="0060417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EC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1B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6F5"/>
    <w:rsid w:val="006D3005"/>
    <w:rsid w:val="006D504F"/>
    <w:rsid w:val="006E0CAC"/>
    <w:rsid w:val="006E1CFB"/>
    <w:rsid w:val="006E1F94"/>
    <w:rsid w:val="006E26C1"/>
    <w:rsid w:val="006E30A8"/>
    <w:rsid w:val="006E3C68"/>
    <w:rsid w:val="006E45B0"/>
    <w:rsid w:val="006E5692"/>
    <w:rsid w:val="006F365D"/>
    <w:rsid w:val="006F4BB0"/>
    <w:rsid w:val="00700313"/>
    <w:rsid w:val="007031BD"/>
    <w:rsid w:val="00703E80"/>
    <w:rsid w:val="00705276"/>
    <w:rsid w:val="00705292"/>
    <w:rsid w:val="007066A0"/>
    <w:rsid w:val="007075FB"/>
    <w:rsid w:val="0070787B"/>
    <w:rsid w:val="0071131D"/>
    <w:rsid w:val="00711E3D"/>
    <w:rsid w:val="00711E85"/>
    <w:rsid w:val="00712DDA"/>
    <w:rsid w:val="0071531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2D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C81"/>
    <w:rsid w:val="007A7EC1"/>
    <w:rsid w:val="007B4FCA"/>
    <w:rsid w:val="007B7B85"/>
    <w:rsid w:val="007C462E"/>
    <w:rsid w:val="007C496B"/>
    <w:rsid w:val="007C5D45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F8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F0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B8A"/>
    <w:rsid w:val="008A3188"/>
    <w:rsid w:val="008A3FDF"/>
    <w:rsid w:val="008A6418"/>
    <w:rsid w:val="008A694D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3CD"/>
    <w:rsid w:val="008C3FD0"/>
    <w:rsid w:val="008D27A5"/>
    <w:rsid w:val="008D2AAB"/>
    <w:rsid w:val="008D309C"/>
    <w:rsid w:val="008D4407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1F4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98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6D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B65"/>
    <w:rsid w:val="00A54142"/>
    <w:rsid w:val="00A54C42"/>
    <w:rsid w:val="00A572B1"/>
    <w:rsid w:val="00A577AF"/>
    <w:rsid w:val="00A60177"/>
    <w:rsid w:val="00A61C27"/>
    <w:rsid w:val="00A62638"/>
    <w:rsid w:val="00A62F5D"/>
    <w:rsid w:val="00A6344D"/>
    <w:rsid w:val="00A644B8"/>
    <w:rsid w:val="00A70E35"/>
    <w:rsid w:val="00A71A66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C3F"/>
    <w:rsid w:val="00AB74E2"/>
    <w:rsid w:val="00AC2E9A"/>
    <w:rsid w:val="00AC5AAB"/>
    <w:rsid w:val="00AC5AEC"/>
    <w:rsid w:val="00AC5F28"/>
    <w:rsid w:val="00AC6900"/>
    <w:rsid w:val="00AD023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B83"/>
    <w:rsid w:val="00B34F25"/>
    <w:rsid w:val="00B43672"/>
    <w:rsid w:val="00B46B15"/>
    <w:rsid w:val="00B473D8"/>
    <w:rsid w:val="00B5165A"/>
    <w:rsid w:val="00B524C1"/>
    <w:rsid w:val="00B52C8D"/>
    <w:rsid w:val="00B55906"/>
    <w:rsid w:val="00B564BF"/>
    <w:rsid w:val="00B6104E"/>
    <w:rsid w:val="00B610C7"/>
    <w:rsid w:val="00B62106"/>
    <w:rsid w:val="00B626A8"/>
    <w:rsid w:val="00B65695"/>
    <w:rsid w:val="00B66526"/>
    <w:rsid w:val="00B665A3"/>
    <w:rsid w:val="00B67C77"/>
    <w:rsid w:val="00B7262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F0A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3E4"/>
    <w:rsid w:val="00C2766F"/>
    <w:rsid w:val="00C3223B"/>
    <w:rsid w:val="00C333C6"/>
    <w:rsid w:val="00C35CC5"/>
    <w:rsid w:val="00C361C5"/>
    <w:rsid w:val="00C377D1"/>
    <w:rsid w:val="00C37BDA"/>
    <w:rsid w:val="00C37C84"/>
    <w:rsid w:val="00C41E80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4B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3E5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A1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232"/>
    <w:rsid w:val="00DA564B"/>
    <w:rsid w:val="00DA6A5C"/>
    <w:rsid w:val="00DA75D3"/>
    <w:rsid w:val="00DB311F"/>
    <w:rsid w:val="00DB53C6"/>
    <w:rsid w:val="00DB59E3"/>
    <w:rsid w:val="00DB6CB6"/>
    <w:rsid w:val="00DB758F"/>
    <w:rsid w:val="00DC1F1B"/>
    <w:rsid w:val="00DC2EFC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3E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208"/>
    <w:rsid w:val="00E21D55"/>
    <w:rsid w:val="00E21FDC"/>
    <w:rsid w:val="00E247F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E4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69E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D73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839"/>
    <w:rsid w:val="00F25C26"/>
    <w:rsid w:val="00F25CC2"/>
    <w:rsid w:val="00F27573"/>
    <w:rsid w:val="00F307B6"/>
    <w:rsid w:val="00F30EB8"/>
    <w:rsid w:val="00F31876"/>
    <w:rsid w:val="00F31C67"/>
    <w:rsid w:val="00F364BD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537"/>
    <w:rsid w:val="00F82811"/>
    <w:rsid w:val="00F84153"/>
    <w:rsid w:val="00F85661"/>
    <w:rsid w:val="00F953B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ED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7C731-873E-4894-86A6-0A17D41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4C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4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4C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C17"/>
    <w:rPr>
      <w:b/>
      <w:bCs/>
    </w:rPr>
  </w:style>
  <w:style w:type="paragraph" w:styleId="Revision">
    <w:name w:val="Revision"/>
    <w:hidden/>
    <w:uiPriority w:val="99"/>
    <w:semiHidden/>
    <w:rsid w:val="0001696F"/>
    <w:rPr>
      <w:sz w:val="24"/>
      <w:szCs w:val="24"/>
    </w:rPr>
  </w:style>
  <w:style w:type="character" w:styleId="Hyperlink">
    <w:name w:val="Hyperlink"/>
    <w:basedOn w:val="DefaultParagraphFont"/>
    <w:unhideWhenUsed/>
    <w:rsid w:val="00FE1E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6901</Characters>
  <Application>Microsoft Office Word</Application>
  <DocSecurity>4</DocSecurity>
  <Lines>143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HB04449 (Committee Report (Unamended))</vt:lpstr>
    </vt:vector>
  </TitlesOfParts>
  <Company>State of Texas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27675</dc:subject>
  <dc:creator>State of Texas</dc:creator>
  <dc:description>HB 4449 by Reynolds-(H)Youth Health &amp; Safety, Select</dc:description>
  <cp:lastModifiedBy>Stacey Nicchio</cp:lastModifiedBy>
  <cp:revision>2</cp:revision>
  <cp:lastPrinted>2003-11-26T17:21:00Z</cp:lastPrinted>
  <dcterms:created xsi:type="dcterms:W3CDTF">2023-05-01T23:59:00Z</dcterms:created>
  <dcterms:modified xsi:type="dcterms:W3CDTF">2023-05-01T23:59:00Z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23.121.1212</vt:lpwstr>
  </property>
</Properties>
</file>