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1CA2" w14:paraId="2DBEB4BA" w14:textId="77777777" w:rsidTr="00345119">
        <w:tc>
          <w:tcPr>
            <w:tcW w:w="9576" w:type="dxa"/>
            <w:noWrap/>
          </w:tcPr>
          <w:p w14:paraId="3B93BCCC" w14:textId="77777777" w:rsidR="008423E4" w:rsidRPr="0022177D" w:rsidRDefault="005A273D" w:rsidP="00A51364">
            <w:pPr>
              <w:pStyle w:val="Heading1"/>
            </w:pPr>
            <w:r w:rsidRPr="00631897">
              <w:t>BILL ANALYSIS</w:t>
            </w:r>
          </w:p>
        </w:tc>
      </w:tr>
    </w:tbl>
    <w:p w14:paraId="08281C84" w14:textId="77777777" w:rsidR="008423E4" w:rsidRPr="0022177D" w:rsidRDefault="008423E4" w:rsidP="00A51364">
      <w:pPr>
        <w:jc w:val="center"/>
      </w:pPr>
    </w:p>
    <w:p w14:paraId="05DA985F" w14:textId="77777777" w:rsidR="008423E4" w:rsidRPr="00B31F0E" w:rsidRDefault="008423E4" w:rsidP="00A51364"/>
    <w:p w14:paraId="2E1432A1" w14:textId="77777777" w:rsidR="008423E4" w:rsidRPr="00742794" w:rsidRDefault="008423E4" w:rsidP="00A51364">
      <w:pPr>
        <w:tabs>
          <w:tab w:val="right" w:pos="9360"/>
        </w:tabs>
      </w:pPr>
    </w:p>
    <w:tbl>
      <w:tblPr>
        <w:tblW w:w="0" w:type="auto"/>
        <w:tblLayout w:type="fixed"/>
        <w:tblLook w:val="01E0" w:firstRow="1" w:lastRow="1" w:firstColumn="1" w:lastColumn="1" w:noHBand="0" w:noVBand="0"/>
      </w:tblPr>
      <w:tblGrid>
        <w:gridCol w:w="9576"/>
      </w:tblGrid>
      <w:tr w:rsidR="00061CA2" w14:paraId="56FF77FE" w14:textId="77777777" w:rsidTr="00345119">
        <w:tc>
          <w:tcPr>
            <w:tcW w:w="9576" w:type="dxa"/>
          </w:tcPr>
          <w:p w14:paraId="57E71437" w14:textId="0D197B62" w:rsidR="008423E4" w:rsidRPr="00861995" w:rsidRDefault="005A273D" w:rsidP="00A51364">
            <w:pPr>
              <w:jc w:val="right"/>
            </w:pPr>
            <w:r>
              <w:t>C.S.H.B. 4506</w:t>
            </w:r>
          </w:p>
        </w:tc>
      </w:tr>
      <w:tr w:rsidR="00061CA2" w14:paraId="3E3735A5" w14:textId="77777777" w:rsidTr="00345119">
        <w:tc>
          <w:tcPr>
            <w:tcW w:w="9576" w:type="dxa"/>
          </w:tcPr>
          <w:p w14:paraId="21AB2856" w14:textId="32C2D5FF" w:rsidR="008423E4" w:rsidRPr="00861995" w:rsidRDefault="005A273D" w:rsidP="00A51364">
            <w:pPr>
              <w:jc w:val="right"/>
            </w:pPr>
            <w:r>
              <w:t xml:space="preserve">By: </w:t>
            </w:r>
            <w:r w:rsidR="00034CC4">
              <w:t>Cortez</w:t>
            </w:r>
          </w:p>
        </w:tc>
      </w:tr>
      <w:tr w:rsidR="00061CA2" w14:paraId="343C15E3" w14:textId="77777777" w:rsidTr="00345119">
        <w:tc>
          <w:tcPr>
            <w:tcW w:w="9576" w:type="dxa"/>
          </w:tcPr>
          <w:p w14:paraId="6711E2F1" w14:textId="67DF9E03" w:rsidR="008423E4" w:rsidRPr="00861995" w:rsidRDefault="005A273D" w:rsidP="00A51364">
            <w:pPr>
              <w:jc w:val="right"/>
            </w:pPr>
            <w:r>
              <w:t>Insurance</w:t>
            </w:r>
          </w:p>
        </w:tc>
      </w:tr>
      <w:tr w:rsidR="00061CA2" w14:paraId="77F1D9D3" w14:textId="77777777" w:rsidTr="00345119">
        <w:tc>
          <w:tcPr>
            <w:tcW w:w="9576" w:type="dxa"/>
          </w:tcPr>
          <w:p w14:paraId="0020733F" w14:textId="51AA40EE" w:rsidR="008423E4" w:rsidRDefault="005A273D" w:rsidP="00A51364">
            <w:pPr>
              <w:jc w:val="right"/>
            </w:pPr>
            <w:r>
              <w:t>Committee Report (Substituted)</w:t>
            </w:r>
          </w:p>
        </w:tc>
      </w:tr>
    </w:tbl>
    <w:p w14:paraId="143E7EB9" w14:textId="77777777" w:rsidR="008423E4" w:rsidRDefault="008423E4" w:rsidP="00A51364">
      <w:pPr>
        <w:tabs>
          <w:tab w:val="right" w:pos="9360"/>
        </w:tabs>
      </w:pPr>
    </w:p>
    <w:p w14:paraId="3C9045DD" w14:textId="77777777" w:rsidR="008423E4" w:rsidRDefault="008423E4" w:rsidP="00A51364"/>
    <w:p w14:paraId="05D51424" w14:textId="77777777" w:rsidR="008423E4" w:rsidRDefault="008423E4" w:rsidP="00A51364"/>
    <w:tbl>
      <w:tblPr>
        <w:tblW w:w="0" w:type="auto"/>
        <w:tblCellMar>
          <w:left w:w="115" w:type="dxa"/>
          <w:right w:w="115" w:type="dxa"/>
        </w:tblCellMar>
        <w:tblLook w:val="01E0" w:firstRow="1" w:lastRow="1" w:firstColumn="1" w:lastColumn="1" w:noHBand="0" w:noVBand="0"/>
      </w:tblPr>
      <w:tblGrid>
        <w:gridCol w:w="9360"/>
      </w:tblGrid>
      <w:tr w:rsidR="00061CA2" w14:paraId="1CC432C0" w14:textId="77777777" w:rsidTr="00345119">
        <w:tc>
          <w:tcPr>
            <w:tcW w:w="9576" w:type="dxa"/>
          </w:tcPr>
          <w:p w14:paraId="5A726F49" w14:textId="77777777" w:rsidR="008423E4" w:rsidRPr="00A8133F" w:rsidRDefault="005A273D" w:rsidP="00A51364">
            <w:pPr>
              <w:rPr>
                <w:b/>
              </w:rPr>
            </w:pPr>
            <w:r w:rsidRPr="009C1E9A">
              <w:rPr>
                <w:b/>
                <w:u w:val="single"/>
              </w:rPr>
              <w:t>BACKGROUND AND PURPOSE</w:t>
            </w:r>
            <w:r>
              <w:rPr>
                <w:b/>
              </w:rPr>
              <w:t xml:space="preserve"> </w:t>
            </w:r>
          </w:p>
          <w:p w14:paraId="732424EC" w14:textId="77777777" w:rsidR="008423E4" w:rsidRDefault="008423E4" w:rsidP="00A51364"/>
          <w:p w14:paraId="4CA97708" w14:textId="45D1FECC" w:rsidR="008423E4" w:rsidRDefault="005A273D" w:rsidP="00A51364">
            <w:pPr>
              <w:pStyle w:val="Header"/>
              <w:tabs>
                <w:tab w:val="clear" w:pos="4320"/>
                <w:tab w:val="clear" w:pos="8640"/>
              </w:tabs>
              <w:jc w:val="both"/>
            </w:pPr>
            <w:r>
              <w:t>Despite an increased understanding of the s</w:t>
            </w:r>
            <w:r w:rsidR="00D6554E" w:rsidRPr="00D6554E">
              <w:t xml:space="preserve">cientific and psychological </w:t>
            </w:r>
            <w:r>
              <w:t xml:space="preserve">nature of </w:t>
            </w:r>
            <w:r w:rsidR="00D6554E" w:rsidRPr="00D6554E">
              <w:t xml:space="preserve">autism spectrum disorder, </w:t>
            </w:r>
            <w:r w:rsidR="00266BC6">
              <w:t>state law</w:t>
            </w:r>
            <w:r w:rsidR="00D6554E" w:rsidRPr="00D6554E">
              <w:t xml:space="preserve"> has not updated </w:t>
            </w:r>
            <w:r w:rsidR="00266BC6">
              <w:t>applicable</w:t>
            </w:r>
            <w:r w:rsidR="00D6554E" w:rsidRPr="00D6554E">
              <w:t xml:space="preserve"> </w:t>
            </w:r>
            <w:r w:rsidR="00AC29F7">
              <w:t xml:space="preserve">definitions with respect to certain insurance </w:t>
            </w:r>
            <w:r w:rsidR="00D6554E" w:rsidRPr="00D6554E">
              <w:t>requirements</w:t>
            </w:r>
            <w:r w:rsidR="00AC29F7">
              <w:t xml:space="preserve"> related to </w:t>
            </w:r>
            <w:r w:rsidR="0000400E">
              <w:t>the</w:t>
            </w:r>
            <w:r w:rsidR="001D10B2">
              <w:t xml:space="preserve"> disorder.</w:t>
            </w:r>
            <w:r w:rsidR="001D10B2" w:rsidRPr="00D6554E">
              <w:t xml:space="preserve"> </w:t>
            </w:r>
            <w:r w:rsidR="00266BC6">
              <w:t>It has been suggested that m</w:t>
            </w:r>
            <w:r w:rsidR="00D6554E" w:rsidRPr="00D6554E">
              <w:t xml:space="preserve">any health insurance providers would welcome </w:t>
            </w:r>
            <w:r w:rsidR="00FC6E8F">
              <w:t xml:space="preserve">an </w:t>
            </w:r>
            <w:r w:rsidR="00D6554E" w:rsidRPr="00D6554E">
              <w:t xml:space="preserve">updated </w:t>
            </w:r>
            <w:r w:rsidR="0000400E">
              <w:t>statutory</w:t>
            </w:r>
            <w:r w:rsidR="00D6554E" w:rsidRPr="00D6554E">
              <w:t xml:space="preserve"> definition of what constitutes autism spectrum disorder </w:t>
            </w:r>
            <w:r w:rsidR="0000400E">
              <w:t xml:space="preserve">as well as </w:t>
            </w:r>
            <w:r w:rsidR="00FC6E8F">
              <w:t>clarity regarding</w:t>
            </w:r>
            <w:r w:rsidR="00D6554E" w:rsidRPr="00D6554E">
              <w:t xml:space="preserve"> the responsibilities of insurance providers </w:t>
            </w:r>
            <w:r w:rsidR="00FC6E8F">
              <w:t>in covering their clients'</w:t>
            </w:r>
            <w:r w:rsidR="00D6554E" w:rsidRPr="00D6554E">
              <w:t xml:space="preserve"> treatments for said disorders.</w:t>
            </w:r>
            <w:r w:rsidR="00D6554E">
              <w:t xml:space="preserve"> C.S.</w:t>
            </w:r>
            <w:r w:rsidR="00D6554E" w:rsidRPr="00D6554E">
              <w:t>H</w:t>
            </w:r>
            <w:r w:rsidR="00D6554E">
              <w:t>.</w:t>
            </w:r>
            <w:r w:rsidR="00D6554E" w:rsidRPr="00D6554E">
              <w:t>B</w:t>
            </w:r>
            <w:r w:rsidR="00D6554E">
              <w:t>.</w:t>
            </w:r>
            <w:r w:rsidR="00D6554E" w:rsidRPr="00D6554E">
              <w:t xml:space="preserve"> 4506 </w:t>
            </w:r>
            <w:r w:rsidR="00D6554E">
              <w:t>seeks</w:t>
            </w:r>
            <w:r w:rsidR="00D6554E" w:rsidRPr="00D6554E">
              <w:t xml:space="preserve"> to update the definition of </w:t>
            </w:r>
            <w:r w:rsidR="00266BC6">
              <w:t>autism spectrum disorder</w:t>
            </w:r>
            <w:r w:rsidR="00BA1242">
              <w:t xml:space="preserve">, require a plan to provide coverage for such treatment to any enrollee who is diagnosed with the disorder from the date of diagnosis, and expressly prohibit the plan from limiting coverage for benefits for an enrollee 10 years of age or older. </w:t>
            </w:r>
          </w:p>
          <w:p w14:paraId="1C484D25" w14:textId="77777777" w:rsidR="008423E4" w:rsidRPr="00E26B13" w:rsidRDefault="008423E4" w:rsidP="00A51364">
            <w:pPr>
              <w:rPr>
                <w:b/>
              </w:rPr>
            </w:pPr>
          </w:p>
        </w:tc>
      </w:tr>
      <w:tr w:rsidR="00061CA2" w14:paraId="413E4505" w14:textId="77777777" w:rsidTr="00345119">
        <w:tc>
          <w:tcPr>
            <w:tcW w:w="9576" w:type="dxa"/>
          </w:tcPr>
          <w:p w14:paraId="2DDBACF8" w14:textId="77777777" w:rsidR="0017725B" w:rsidRDefault="005A273D" w:rsidP="00A51364">
            <w:pPr>
              <w:rPr>
                <w:b/>
                <w:u w:val="single"/>
              </w:rPr>
            </w:pPr>
            <w:r>
              <w:rPr>
                <w:b/>
                <w:u w:val="single"/>
              </w:rPr>
              <w:t>CRIMINAL JUSTICE IMPACT</w:t>
            </w:r>
          </w:p>
          <w:p w14:paraId="5F8768EE" w14:textId="77777777" w:rsidR="0017725B" w:rsidRDefault="0017725B" w:rsidP="00A51364">
            <w:pPr>
              <w:rPr>
                <w:b/>
                <w:u w:val="single"/>
              </w:rPr>
            </w:pPr>
          </w:p>
          <w:p w14:paraId="2876DD2C" w14:textId="730F9834" w:rsidR="005E10D8" w:rsidRPr="005E10D8" w:rsidRDefault="005A273D" w:rsidP="00A51364">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408B7618" w14:textId="77777777" w:rsidR="0017725B" w:rsidRPr="0017725B" w:rsidRDefault="0017725B" w:rsidP="00A51364">
            <w:pPr>
              <w:rPr>
                <w:b/>
                <w:u w:val="single"/>
              </w:rPr>
            </w:pPr>
          </w:p>
        </w:tc>
      </w:tr>
      <w:tr w:rsidR="00061CA2" w14:paraId="09E34DCE" w14:textId="77777777" w:rsidTr="00345119">
        <w:tc>
          <w:tcPr>
            <w:tcW w:w="9576" w:type="dxa"/>
          </w:tcPr>
          <w:p w14:paraId="0CEAA38A" w14:textId="77777777" w:rsidR="008423E4" w:rsidRPr="00A8133F" w:rsidRDefault="005A273D" w:rsidP="00A51364">
            <w:pPr>
              <w:rPr>
                <w:b/>
              </w:rPr>
            </w:pPr>
            <w:r w:rsidRPr="009C1E9A">
              <w:rPr>
                <w:b/>
                <w:u w:val="single"/>
              </w:rPr>
              <w:t>RULEMAKING AUTHORITY</w:t>
            </w:r>
            <w:r>
              <w:rPr>
                <w:b/>
              </w:rPr>
              <w:t xml:space="preserve"> </w:t>
            </w:r>
          </w:p>
          <w:p w14:paraId="2090ACFE" w14:textId="77777777" w:rsidR="008423E4" w:rsidRDefault="008423E4" w:rsidP="00A51364"/>
          <w:p w14:paraId="1D5FD211" w14:textId="000A938C" w:rsidR="005E10D8" w:rsidRDefault="005A273D" w:rsidP="00A5136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B3C0D9F" w14:textId="77777777" w:rsidR="008423E4" w:rsidRPr="00E21FDC" w:rsidRDefault="008423E4" w:rsidP="00A51364">
            <w:pPr>
              <w:rPr>
                <w:b/>
              </w:rPr>
            </w:pPr>
          </w:p>
        </w:tc>
      </w:tr>
      <w:tr w:rsidR="00061CA2" w14:paraId="1B3E3B33" w14:textId="77777777" w:rsidTr="00345119">
        <w:tc>
          <w:tcPr>
            <w:tcW w:w="9576" w:type="dxa"/>
          </w:tcPr>
          <w:p w14:paraId="702C7E6C" w14:textId="77777777" w:rsidR="008423E4" w:rsidRPr="00A8133F" w:rsidRDefault="005A273D" w:rsidP="00A51364">
            <w:pPr>
              <w:rPr>
                <w:b/>
              </w:rPr>
            </w:pPr>
            <w:r w:rsidRPr="009C1E9A">
              <w:rPr>
                <w:b/>
                <w:u w:val="single"/>
              </w:rPr>
              <w:t>ANALYSIS</w:t>
            </w:r>
            <w:r>
              <w:rPr>
                <w:b/>
              </w:rPr>
              <w:t xml:space="preserve"> </w:t>
            </w:r>
          </w:p>
          <w:p w14:paraId="75FAE3FA" w14:textId="77777777" w:rsidR="008423E4" w:rsidRDefault="008423E4" w:rsidP="00A51364"/>
          <w:p w14:paraId="262616FC" w14:textId="137E4800" w:rsidR="005275B4" w:rsidRDefault="005A273D" w:rsidP="00A51364">
            <w:pPr>
              <w:pStyle w:val="Header"/>
              <w:jc w:val="both"/>
            </w:pPr>
            <w:r>
              <w:t>C.S.</w:t>
            </w:r>
            <w:r w:rsidR="000533D6">
              <w:t>H.B. 4506 amends the Insurance Code</w:t>
            </w:r>
            <w:r>
              <w:t xml:space="preserve">, for </w:t>
            </w:r>
            <w:r>
              <w:t>purposes of statutory provisions regarding group health benefit plan coverage for certain serious mental illnesses and other disorders,</w:t>
            </w:r>
            <w:r w:rsidR="000533D6">
              <w:t xml:space="preserve"> to</w:t>
            </w:r>
            <w:r w:rsidR="00C25B60">
              <w:t xml:space="preserve"> </w:t>
            </w:r>
            <w:r w:rsidR="00AC29F7">
              <w:t xml:space="preserve">update </w:t>
            </w:r>
            <w:r w:rsidR="000533D6">
              <w:t xml:space="preserve">the definition of </w:t>
            </w:r>
            <w:r w:rsidR="00AD3E9C">
              <w:t>"</w:t>
            </w:r>
            <w:r w:rsidR="00C25B60">
              <w:t>a</w:t>
            </w:r>
            <w:r w:rsidR="000533D6">
              <w:t>utism spectrum disorder</w:t>
            </w:r>
            <w:r w:rsidR="00AD3E9C">
              <w:t>"</w:t>
            </w:r>
            <w:r w:rsidR="000533D6">
              <w:t xml:space="preserve"> </w:t>
            </w:r>
            <w:r w:rsidR="00495BCB">
              <w:t xml:space="preserve">to </w:t>
            </w:r>
            <w:r w:rsidR="00C25B60">
              <w:t>mean</w:t>
            </w:r>
            <w:r>
              <w:t>, as follows:</w:t>
            </w:r>
          </w:p>
          <w:p w14:paraId="7D0327A9" w14:textId="50C8FECA" w:rsidR="005275B4" w:rsidRDefault="005A273D" w:rsidP="00A51364">
            <w:pPr>
              <w:pStyle w:val="Header"/>
              <w:numPr>
                <w:ilvl w:val="0"/>
                <w:numId w:val="1"/>
              </w:numPr>
              <w:jc w:val="both"/>
            </w:pPr>
            <w:r>
              <w:t xml:space="preserve">a </w:t>
            </w:r>
            <w:r w:rsidR="00C25B60" w:rsidRPr="00C25B60">
              <w:t>neurobiological disorder</w:t>
            </w:r>
            <w:r w:rsidR="00C25B60">
              <w:t xml:space="preserve"> or </w:t>
            </w:r>
            <w:r>
              <w:t xml:space="preserve">developmental </w:t>
            </w:r>
            <w:r>
              <w:t>disability that significantly affects verbal communication, nonverbal communication, and social interaction and that meets the diagnostic criteria for autism spectrum disorder specified by the Diagnostic and Statistical Manual of Mental Disorders, 5th edit</w:t>
            </w:r>
            <w:r>
              <w:t>ion</w:t>
            </w:r>
            <w:r w:rsidR="002B77CA">
              <w:t>,</w:t>
            </w:r>
            <w:r>
              <w:t xml:space="preserve"> or</w:t>
            </w:r>
            <w:r w:rsidR="002B77CA">
              <w:t xml:space="preserve"> a</w:t>
            </w:r>
            <w:r>
              <w:t xml:space="preserve"> later edition; or </w:t>
            </w:r>
          </w:p>
          <w:p w14:paraId="0F2ED417" w14:textId="46653E4A" w:rsidR="005275B4" w:rsidRDefault="005A273D" w:rsidP="00A51364">
            <w:pPr>
              <w:pStyle w:val="Header"/>
              <w:numPr>
                <w:ilvl w:val="0"/>
                <w:numId w:val="1"/>
              </w:numPr>
              <w:jc w:val="both"/>
            </w:pPr>
            <w:r>
              <w:t>a diagnosis made</w:t>
            </w:r>
            <w:r w:rsidR="00E41F2F">
              <w:t>,</w:t>
            </w:r>
            <w:r>
              <w:t xml:space="preserve"> using a previous edition of th</w:t>
            </w:r>
            <w:r w:rsidR="00E41F2F">
              <w:t>at manual, o</w:t>
            </w:r>
            <w:r>
              <w:t xml:space="preserve">f autism, </w:t>
            </w:r>
            <w:r w:rsidR="00B229A0" w:rsidRPr="00B229A0">
              <w:t>Asperger's syndrome, or Pervasive Developmental Disorder</w:t>
            </w:r>
            <w:r w:rsidR="000924A1">
              <w:t>—</w:t>
            </w:r>
            <w:r w:rsidR="00B229A0" w:rsidRPr="00B229A0">
              <w:t>Not Otherwise Specified</w:t>
            </w:r>
            <w:r>
              <w:t>.</w:t>
            </w:r>
          </w:p>
          <w:p w14:paraId="3508D9A5" w14:textId="57186004" w:rsidR="009C36CD" w:rsidRDefault="005A273D" w:rsidP="00A51364">
            <w:pPr>
              <w:pStyle w:val="Header"/>
              <w:jc w:val="both"/>
            </w:pPr>
            <w:r>
              <w:t xml:space="preserve">The bill removes the </w:t>
            </w:r>
            <w:r w:rsidR="00473C89">
              <w:t>current definition providing that "autism spectrum disorder" is a neurological disorder that includes autism, Asperger's syndrome, or Pervasive Developmental Disorder—Not Otherwise Specified.</w:t>
            </w:r>
            <w:r w:rsidR="00495BCB">
              <w:t xml:space="preserve"> </w:t>
            </w:r>
          </w:p>
          <w:p w14:paraId="4398C4E1" w14:textId="56C5B9D0" w:rsidR="00495BCB" w:rsidRDefault="00495BCB" w:rsidP="00A51364">
            <w:pPr>
              <w:pStyle w:val="Header"/>
              <w:jc w:val="both"/>
            </w:pPr>
          </w:p>
          <w:p w14:paraId="4C306105" w14:textId="49B42091" w:rsidR="006650B6" w:rsidRDefault="005A273D" w:rsidP="00A51364">
            <w:pPr>
              <w:pStyle w:val="Header"/>
              <w:jc w:val="both"/>
            </w:pPr>
            <w:r>
              <w:t>C.S.</w:t>
            </w:r>
            <w:r w:rsidR="00495BCB">
              <w:t>H.B. 4506</w:t>
            </w:r>
            <w:r w:rsidR="00350C70">
              <w:t xml:space="preserve">, </w:t>
            </w:r>
            <w:r w:rsidR="00AF5549">
              <w:t>in revising the requirement under current law that requires</w:t>
            </w:r>
            <w:r w:rsidR="00350C70">
              <w:t xml:space="preserve"> coverage for certain health benefit plan enrollees for all generally recognized services prescribed in relation to autism spectrum disorder by the enrollee's primary care physician in the treatment plan recommended by that physician, does the following:</w:t>
            </w:r>
            <w:r>
              <w:t xml:space="preserve"> </w:t>
            </w:r>
          </w:p>
          <w:p w14:paraId="6DB6D00E" w14:textId="6E9CD508" w:rsidR="00350C70" w:rsidRDefault="005A273D" w:rsidP="00A51364">
            <w:pPr>
              <w:pStyle w:val="Header"/>
              <w:numPr>
                <w:ilvl w:val="0"/>
                <w:numId w:val="2"/>
              </w:numPr>
              <w:jc w:val="both"/>
            </w:pPr>
            <w:r>
              <w:t xml:space="preserve">removes the </w:t>
            </w:r>
            <w:r w:rsidR="00E41F2F">
              <w:t xml:space="preserve">provision </w:t>
            </w:r>
            <w:r w:rsidR="00FF786D">
              <w:t>limiting</w:t>
            </w:r>
            <w:r w:rsidR="006650B6">
              <w:t xml:space="preserve"> </w:t>
            </w:r>
            <w:r w:rsidR="00AF5549">
              <w:t xml:space="preserve">coverage </w:t>
            </w:r>
            <w:r w:rsidR="004014CE">
              <w:t>to an enro</w:t>
            </w:r>
            <w:r w:rsidR="006650B6">
              <w:t>l</w:t>
            </w:r>
            <w:r w:rsidR="004014CE">
              <w:t>lee whose</w:t>
            </w:r>
            <w:r w:rsidR="00E41F2F">
              <w:t xml:space="preserve"> diagnosis </w:t>
            </w:r>
            <w:r w:rsidR="004014CE">
              <w:t xml:space="preserve">of </w:t>
            </w:r>
            <w:r w:rsidR="00FF786D">
              <w:t xml:space="preserve">the </w:t>
            </w:r>
            <w:r w:rsidR="004014CE">
              <w:t xml:space="preserve">disorder </w:t>
            </w:r>
            <w:r w:rsidR="00E41F2F">
              <w:t xml:space="preserve">was in place </w:t>
            </w:r>
            <w:r w:rsidR="004014CE">
              <w:t xml:space="preserve">prior to </w:t>
            </w:r>
            <w:r w:rsidR="008F1B65">
              <w:t>the child</w:t>
            </w:r>
            <w:r w:rsidR="00AD3E9C">
              <w:t>'</w:t>
            </w:r>
            <w:r w:rsidR="008F1B65">
              <w:t>s 10</w:t>
            </w:r>
            <w:r w:rsidR="004014CE">
              <w:t>th</w:t>
            </w:r>
            <w:r w:rsidR="008F1B65">
              <w:t xml:space="preserve"> birthday</w:t>
            </w:r>
            <w:r w:rsidR="00AF5549">
              <w:t>, thereby requiring</w:t>
            </w:r>
            <w:r w:rsidR="00FF786D">
              <w:t xml:space="preserve"> such a plan</w:t>
            </w:r>
            <w:r>
              <w:t xml:space="preserve"> instead</w:t>
            </w:r>
            <w:r w:rsidR="00FF786D">
              <w:t xml:space="preserve"> to provide coverage for such treatment to an</w:t>
            </w:r>
            <w:r>
              <w:t>y</w:t>
            </w:r>
            <w:r w:rsidR="00FF786D">
              <w:t xml:space="preserve"> enrollee who is diagnosed with the disorder from the date of</w:t>
            </w:r>
            <w:r>
              <w:t xml:space="preserve"> </w:t>
            </w:r>
            <w:r w:rsidR="00FF786D">
              <w:t>diagnosis</w:t>
            </w:r>
            <w:r>
              <w:t>;</w:t>
            </w:r>
          </w:p>
          <w:p w14:paraId="0EEB990C" w14:textId="64EACA62" w:rsidR="002F4A12" w:rsidRDefault="005A273D" w:rsidP="00A51364">
            <w:pPr>
              <w:pStyle w:val="Header"/>
              <w:numPr>
                <w:ilvl w:val="0"/>
                <w:numId w:val="2"/>
              </w:numPr>
              <w:jc w:val="both"/>
            </w:pPr>
            <w:r>
              <w:t xml:space="preserve">removes </w:t>
            </w:r>
            <w:r w:rsidR="00B229A0">
              <w:t>a</w:t>
            </w:r>
            <w:r>
              <w:t xml:space="preserve"> provision that </w:t>
            </w:r>
            <w:r w:rsidR="00B229A0">
              <w:t>established</w:t>
            </w:r>
            <w:r>
              <w:t xml:space="preserve"> th</w:t>
            </w:r>
            <w:r w:rsidR="00B229A0">
              <w:t>at a</w:t>
            </w:r>
            <w:r>
              <w:t xml:space="preserve"> health benefit plan </w:t>
            </w:r>
            <w:r w:rsidR="00B229A0">
              <w:t>is not</w:t>
            </w:r>
            <w:r>
              <w:t xml:space="preserve"> requi</w:t>
            </w:r>
            <w:r w:rsidR="00B229A0">
              <w:t>red to provide</w:t>
            </w:r>
            <w:r>
              <w:t xml:space="preserve"> </w:t>
            </w:r>
            <w:r w:rsidR="00AF5549">
              <w:t xml:space="preserve">such </w:t>
            </w:r>
            <w:r>
              <w:t>coverage for benefits for an enrollee 10 years of age or older for applied behavior analysis in an amount that exceeds $36,000</w:t>
            </w:r>
            <w:r w:rsidR="00AF5549">
              <w:t xml:space="preserve"> and instead</w:t>
            </w:r>
            <w:r w:rsidR="00A26D7E">
              <w:t xml:space="preserve"> expressly</w:t>
            </w:r>
            <w:r w:rsidR="00AF5549">
              <w:t xml:space="preserve"> prohibits the plan from limiting coverage for benefits for an enrollee 10 years of age or older.</w:t>
            </w:r>
            <w:r>
              <w:t xml:space="preserve"> </w:t>
            </w:r>
          </w:p>
          <w:p w14:paraId="60584556" w14:textId="77777777" w:rsidR="002F4A12" w:rsidRDefault="002F4A12" w:rsidP="00A51364">
            <w:pPr>
              <w:pStyle w:val="Header"/>
              <w:jc w:val="both"/>
            </w:pPr>
          </w:p>
          <w:p w14:paraId="42131447" w14:textId="77777777" w:rsidR="008423E4" w:rsidRDefault="005A273D" w:rsidP="00A51364">
            <w:pPr>
              <w:pStyle w:val="Header"/>
              <w:jc w:val="both"/>
            </w:pPr>
            <w:r>
              <w:t>C.S.</w:t>
            </w:r>
            <w:r w:rsidR="002F4A12">
              <w:t>H.B. 4506</w:t>
            </w:r>
            <w:r w:rsidR="008F1B65">
              <w:t xml:space="preserve"> applies only </w:t>
            </w:r>
            <w:r w:rsidR="00FB6E3E">
              <w:t xml:space="preserve">to a heath benefit plan delivered, issued for delivery, or renewed </w:t>
            </w:r>
            <w:r w:rsidR="002F4A12">
              <w:t>on or after</w:t>
            </w:r>
            <w:r w:rsidR="00FB6E3E">
              <w:t xml:space="preserve"> January 1, 2024. </w:t>
            </w:r>
          </w:p>
          <w:p w14:paraId="2F92511B" w14:textId="7D9E6EF1" w:rsidR="00A26D7E" w:rsidRPr="00835628" w:rsidRDefault="00A26D7E" w:rsidP="00A51364">
            <w:pPr>
              <w:pStyle w:val="Header"/>
              <w:jc w:val="both"/>
            </w:pPr>
          </w:p>
        </w:tc>
      </w:tr>
      <w:tr w:rsidR="00061CA2" w14:paraId="288C931F" w14:textId="77777777" w:rsidTr="00345119">
        <w:tc>
          <w:tcPr>
            <w:tcW w:w="9576" w:type="dxa"/>
          </w:tcPr>
          <w:p w14:paraId="3D71C475" w14:textId="77777777" w:rsidR="008423E4" w:rsidRPr="00A8133F" w:rsidRDefault="005A273D" w:rsidP="00A51364">
            <w:pPr>
              <w:rPr>
                <w:b/>
              </w:rPr>
            </w:pPr>
            <w:r w:rsidRPr="009C1E9A">
              <w:rPr>
                <w:b/>
                <w:u w:val="single"/>
              </w:rPr>
              <w:t>EFFECTIVE DATE</w:t>
            </w:r>
            <w:r>
              <w:rPr>
                <w:b/>
              </w:rPr>
              <w:t xml:space="preserve"> </w:t>
            </w:r>
          </w:p>
          <w:p w14:paraId="508A876E" w14:textId="77777777" w:rsidR="008423E4" w:rsidRDefault="008423E4" w:rsidP="00A51364"/>
          <w:p w14:paraId="6D7A7960" w14:textId="5D3FBE0A" w:rsidR="008423E4" w:rsidRPr="003624F2" w:rsidRDefault="005A273D" w:rsidP="00A51364">
            <w:pPr>
              <w:pStyle w:val="Header"/>
              <w:tabs>
                <w:tab w:val="clear" w:pos="4320"/>
                <w:tab w:val="clear" w:pos="8640"/>
              </w:tabs>
              <w:jc w:val="both"/>
            </w:pPr>
            <w:r>
              <w:t xml:space="preserve">September 1, </w:t>
            </w:r>
            <w:r>
              <w:t>2023.</w:t>
            </w:r>
          </w:p>
          <w:p w14:paraId="0E8F3FBB" w14:textId="77777777" w:rsidR="008423E4" w:rsidRPr="00233FDB" w:rsidRDefault="008423E4" w:rsidP="00A51364">
            <w:pPr>
              <w:rPr>
                <w:b/>
              </w:rPr>
            </w:pPr>
          </w:p>
        </w:tc>
      </w:tr>
      <w:tr w:rsidR="00061CA2" w14:paraId="2F8271EA" w14:textId="77777777" w:rsidTr="00345119">
        <w:tc>
          <w:tcPr>
            <w:tcW w:w="9576" w:type="dxa"/>
          </w:tcPr>
          <w:p w14:paraId="7F8D2D5D" w14:textId="77777777" w:rsidR="00034CC4" w:rsidRDefault="005A273D" w:rsidP="00A51364">
            <w:pPr>
              <w:jc w:val="both"/>
              <w:rPr>
                <w:b/>
                <w:u w:val="single"/>
              </w:rPr>
            </w:pPr>
            <w:r>
              <w:rPr>
                <w:b/>
                <w:u w:val="single"/>
              </w:rPr>
              <w:t>COMPARISON OF INTRODUCED AND SUBSTITUTE</w:t>
            </w:r>
          </w:p>
          <w:p w14:paraId="6C2FA8A8" w14:textId="77777777" w:rsidR="005E10D8" w:rsidRDefault="005E10D8" w:rsidP="00A51364">
            <w:pPr>
              <w:jc w:val="both"/>
            </w:pPr>
          </w:p>
          <w:p w14:paraId="17DC1597" w14:textId="61B9762B" w:rsidR="005E10D8" w:rsidRDefault="005A273D" w:rsidP="00A51364">
            <w:pPr>
              <w:jc w:val="both"/>
            </w:pPr>
            <w:r>
              <w:t>While C.S.H.B. 4506 may differ from the introduced in minor or nonsubstantive ways, the following summarizes the substantial differences between the introduced and committee substitute versions of the bill.</w:t>
            </w:r>
          </w:p>
          <w:p w14:paraId="22F749AE" w14:textId="03D26DEF" w:rsidR="005E10D8" w:rsidRDefault="005E10D8" w:rsidP="00A51364">
            <w:pPr>
              <w:jc w:val="both"/>
            </w:pPr>
          </w:p>
          <w:p w14:paraId="39019016" w14:textId="32EF8045" w:rsidR="00220503" w:rsidRDefault="005A273D" w:rsidP="00A51364">
            <w:pPr>
              <w:jc w:val="both"/>
            </w:pPr>
            <w:r>
              <w:t>Both the substitute and the introduced remove a provision</w:t>
            </w:r>
            <w:r w:rsidR="00C74522">
              <w:t xml:space="preserve"> from current law</w:t>
            </w:r>
            <w:r>
              <w:t xml:space="preserve"> that established that a health benefit plan is not required to provide the coverage for benefits for an enrollee 10 years of age or older for applied behavior analysis in an amount</w:t>
            </w:r>
            <w:r>
              <w:t xml:space="preserve"> that exceeds $36,000. However, they replace that provision with two prohibitions</w:t>
            </w:r>
            <w:r w:rsidR="006B1277">
              <w:t xml:space="preserve"> of a different nature,</w:t>
            </w:r>
            <w:r>
              <w:t xml:space="preserve"> applicable to </w:t>
            </w:r>
            <w:r w:rsidR="006B1277">
              <w:t>the</w:t>
            </w:r>
            <w:r>
              <w:t xml:space="preserve"> coverage, as follows:</w:t>
            </w:r>
          </w:p>
          <w:p w14:paraId="424C51B0" w14:textId="14CB2B42" w:rsidR="00220503" w:rsidRDefault="005A273D" w:rsidP="00A51364">
            <w:pPr>
              <w:pStyle w:val="ListParagraph"/>
              <w:numPr>
                <w:ilvl w:val="0"/>
                <w:numId w:val="3"/>
              </w:numPr>
              <w:contextualSpacing w:val="0"/>
              <w:jc w:val="both"/>
            </w:pPr>
            <w:r>
              <w:t xml:space="preserve">the substitute </w:t>
            </w:r>
            <w:r w:rsidR="00A26D7E">
              <w:t>expressly prohibits the plan from limiting coverage for benefits for an enrollee 10 years of age or older</w:t>
            </w:r>
            <w:r>
              <w:t xml:space="preserve">, which the introduced </w:t>
            </w:r>
            <w:r w:rsidR="006B1277">
              <w:t>did</w:t>
            </w:r>
            <w:r>
              <w:t xml:space="preserve"> not; and</w:t>
            </w:r>
          </w:p>
          <w:p w14:paraId="2320A7DF" w14:textId="23FEE47A" w:rsidR="00220503" w:rsidRDefault="005A273D" w:rsidP="00A51364">
            <w:pPr>
              <w:pStyle w:val="ListParagraph"/>
              <w:numPr>
                <w:ilvl w:val="0"/>
                <w:numId w:val="3"/>
              </w:numPr>
              <w:contextualSpacing w:val="0"/>
              <w:jc w:val="both"/>
            </w:pPr>
            <w:r>
              <w:t xml:space="preserve">the introduced expressly prohibited an enrollee </w:t>
            </w:r>
            <w:r w:rsidR="006B1277">
              <w:t>from being</w:t>
            </w:r>
            <w:r>
              <w:t xml:space="preserve"> evaluated for the disorder more than once every 10 years</w:t>
            </w:r>
            <w:r w:rsidR="006B1277">
              <w:t>, which the substitute does not.</w:t>
            </w:r>
          </w:p>
          <w:p w14:paraId="365D2C8A" w14:textId="7134EE6F" w:rsidR="005E10D8" w:rsidRPr="005E10D8" w:rsidRDefault="005E10D8" w:rsidP="00A51364">
            <w:pPr>
              <w:jc w:val="both"/>
            </w:pPr>
          </w:p>
        </w:tc>
      </w:tr>
      <w:tr w:rsidR="00061CA2" w14:paraId="1237D69A" w14:textId="77777777" w:rsidTr="00345119">
        <w:tc>
          <w:tcPr>
            <w:tcW w:w="9576" w:type="dxa"/>
          </w:tcPr>
          <w:p w14:paraId="023A50BB" w14:textId="77777777" w:rsidR="00034CC4" w:rsidRPr="009C1E9A" w:rsidRDefault="00034CC4" w:rsidP="00A51364">
            <w:pPr>
              <w:rPr>
                <w:b/>
                <w:u w:val="single"/>
              </w:rPr>
            </w:pPr>
          </w:p>
        </w:tc>
      </w:tr>
      <w:tr w:rsidR="00061CA2" w14:paraId="7C12CEA2" w14:textId="77777777" w:rsidTr="00345119">
        <w:tc>
          <w:tcPr>
            <w:tcW w:w="9576" w:type="dxa"/>
          </w:tcPr>
          <w:p w14:paraId="76141912" w14:textId="77777777" w:rsidR="00034CC4" w:rsidRPr="00034CC4" w:rsidRDefault="00034CC4" w:rsidP="00A51364">
            <w:pPr>
              <w:jc w:val="both"/>
            </w:pPr>
          </w:p>
        </w:tc>
      </w:tr>
    </w:tbl>
    <w:p w14:paraId="33F4C9DB" w14:textId="77777777" w:rsidR="008423E4" w:rsidRPr="00BE0E75" w:rsidRDefault="008423E4" w:rsidP="00A51364">
      <w:pPr>
        <w:jc w:val="both"/>
        <w:rPr>
          <w:rFonts w:ascii="Arial" w:hAnsi="Arial"/>
          <w:sz w:val="16"/>
          <w:szCs w:val="16"/>
        </w:rPr>
      </w:pPr>
    </w:p>
    <w:p w14:paraId="50F095DF" w14:textId="77777777" w:rsidR="004108C3" w:rsidRPr="008423E4" w:rsidRDefault="004108C3" w:rsidP="00A5136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7C55" w14:textId="77777777" w:rsidR="00000000" w:rsidRDefault="005A273D">
      <w:r>
        <w:separator/>
      </w:r>
    </w:p>
  </w:endnote>
  <w:endnote w:type="continuationSeparator" w:id="0">
    <w:p w14:paraId="37A9E72C" w14:textId="77777777" w:rsidR="00000000" w:rsidRDefault="005A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AD24" w14:textId="77777777" w:rsidR="00AA7A7E" w:rsidRDefault="00AA7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1CA2" w14:paraId="6CBD0555" w14:textId="77777777" w:rsidTr="009C1E9A">
      <w:trPr>
        <w:cantSplit/>
      </w:trPr>
      <w:tc>
        <w:tcPr>
          <w:tcW w:w="0" w:type="pct"/>
        </w:tcPr>
        <w:p w14:paraId="4294F019" w14:textId="77777777" w:rsidR="00137D90" w:rsidRDefault="00137D90" w:rsidP="009C1E9A">
          <w:pPr>
            <w:pStyle w:val="Footer"/>
            <w:tabs>
              <w:tab w:val="clear" w:pos="8640"/>
              <w:tab w:val="right" w:pos="9360"/>
            </w:tabs>
          </w:pPr>
        </w:p>
      </w:tc>
      <w:tc>
        <w:tcPr>
          <w:tcW w:w="2395" w:type="pct"/>
        </w:tcPr>
        <w:p w14:paraId="66CBB6A3" w14:textId="77777777" w:rsidR="00137D90" w:rsidRDefault="00137D90" w:rsidP="009C1E9A">
          <w:pPr>
            <w:pStyle w:val="Footer"/>
            <w:tabs>
              <w:tab w:val="clear" w:pos="8640"/>
              <w:tab w:val="right" w:pos="9360"/>
            </w:tabs>
          </w:pPr>
        </w:p>
        <w:p w14:paraId="302A76F7" w14:textId="77777777" w:rsidR="001A4310" w:rsidRDefault="001A4310" w:rsidP="009C1E9A">
          <w:pPr>
            <w:pStyle w:val="Footer"/>
            <w:tabs>
              <w:tab w:val="clear" w:pos="8640"/>
              <w:tab w:val="right" w:pos="9360"/>
            </w:tabs>
          </w:pPr>
        </w:p>
        <w:p w14:paraId="68229CD9" w14:textId="77777777" w:rsidR="00137D90" w:rsidRDefault="00137D90" w:rsidP="009C1E9A">
          <w:pPr>
            <w:pStyle w:val="Footer"/>
            <w:tabs>
              <w:tab w:val="clear" w:pos="8640"/>
              <w:tab w:val="right" w:pos="9360"/>
            </w:tabs>
          </w:pPr>
        </w:p>
      </w:tc>
      <w:tc>
        <w:tcPr>
          <w:tcW w:w="2453" w:type="pct"/>
        </w:tcPr>
        <w:p w14:paraId="12E816BD" w14:textId="77777777" w:rsidR="00137D90" w:rsidRDefault="00137D90" w:rsidP="009C1E9A">
          <w:pPr>
            <w:pStyle w:val="Footer"/>
            <w:tabs>
              <w:tab w:val="clear" w:pos="8640"/>
              <w:tab w:val="right" w:pos="9360"/>
            </w:tabs>
            <w:jc w:val="right"/>
          </w:pPr>
        </w:p>
      </w:tc>
    </w:tr>
    <w:tr w:rsidR="00061CA2" w14:paraId="17C90E1C" w14:textId="77777777" w:rsidTr="009C1E9A">
      <w:trPr>
        <w:cantSplit/>
      </w:trPr>
      <w:tc>
        <w:tcPr>
          <w:tcW w:w="0" w:type="pct"/>
        </w:tcPr>
        <w:p w14:paraId="2A828252" w14:textId="77777777" w:rsidR="00EC379B" w:rsidRDefault="00EC379B" w:rsidP="009C1E9A">
          <w:pPr>
            <w:pStyle w:val="Footer"/>
            <w:tabs>
              <w:tab w:val="clear" w:pos="8640"/>
              <w:tab w:val="right" w:pos="9360"/>
            </w:tabs>
          </w:pPr>
        </w:p>
      </w:tc>
      <w:tc>
        <w:tcPr>
          <w:tcW w:w="2395" w:type="pct"/>
        </w:tcPr>
        <w:p w14:paraId="6BCE41C1" w14:textId="4FF5ADCC" w:rsidR="00EC379B" w:rsidRPr="009C1E9A" w:rsidRDefault="005A273D" w:rsidP="009C1E9A">
          <w:pPr>
            <w:pStyle w:val="Footer"/>
            <w:tabs>
              <w:tab w:val="clear" w:pos="8640"/>
              <w:tab w:val="right" w:pos="9360"/>
            </w:tabs>
            <w:rPr>
              <w:rFonts w:ascii="Shruti" w:hAnsi="Shruti"/>
              <w:sz w:val="22"/>
            </w:rPr>
          </w:pPr>
          <w:r>
            <w:rPr>
              <w:rFonts w:ascii="Shruti" w:hAnsi="Shruti"/>
              <w:sz w:val="22"/>
            </w:rPr>
            <w:t>88R 26737-D</w:t>
          </w:r>
        </w:p>
      </w:tc>
      <w:tc>
        <w:tcPr>
          <w:tcW w:w="2453" w:type="pct"/>
        </w:tcPr>
        <w:p w14:paraId="62BD6B44" w14:textId="7A7E3758" w:rsidR="00EC379B" w:rsidRDefault="005A273D" w:rsidP="009C1E9A">
          <w:pPr>
            <w:pStyle w:val="Footer"/>
            <w:tabs>
              <w:tab w:val="clear" w:pos="8640"/>
              <w:tab w:val="right" w:pos="9360"/>
            </w:tabs>
            <w:jc w:val="right"/>
          </w:pPr>
          <w:r>
            <w:fldChar w:fldCharType="begin"/>
          </w:r>
          <w:r>
            <w:instrText xml:space="preserve"> DOCPROPERTY  OTID  \* MERGEFORMAT </w:instrText>
          </w:r>
          <w:r>
            <w:fldChar w:fldCharType="separate"/>
          </w:r>
          <w:r w:rsidR="00A51364">
            <w:t>23.119.108</w:t>
          </w:r>
          <w:r>
            <w:fldChar w:fldCharType="end"/>
          </w:r>
        </w:p>
      </w:tc>
    </w:tr>
    <w:tr w:rsidR="00061CA2" w14:paraId="7847E008" w14:textId="77777777" w:rsidTr="009C1E9A">
      <w:trPr>
        <w:cantSplit/>
      </w:trPr>
      <w:tc>
        <w:tcPr>
          <w:tcW w:w="0" w:type="pct"/>
        </w:tcPr>
        <w:p w14:paraId="172F0C0F" w14:textId="77777777" w:rsidR="00EC379B" w:rsidRDefault="00EC379B" w:rsidP="009C1E9A">
          <w:pPr>
            <w:pStyle w:val="Footer"/>
            <w:tabs>
              <w:tab w:val="clear" w:pos="4320"/>
              <w:tab w:val="clear" w:pos="8640"/>
              <w:tab w:val="left" w:pos="2865"/>
            </w:tabs>
          </w:pPr>
        </w:p>
      </w:tc>
      <w:tc>
        <w:tcPr>
          <w:tcW w:w="2395" w:type="pct"/>
        </w:tcPr>
        <w:p w14:paraId="02EE64A9" w14:textId="08BDB4BB" w:rsidR="00EC379B" w:rsidRPr="009C1E9A" w:rsidRDefault="005A273D" w:rsidP="009C1E9A">
          <w:pPr>
            <w:pStyle w:val="Footer"/>
            <w:tabs>
              <w:tab w:val="clear" w:pos="4320"/>
              <w:tab w:val="clear" w:pos="8640"/>
              <w:tab w:val="left" w:pos="2865"/>
            </w:tabs>
            <w:rPr>
              <w:rFonts w:ascii="Shruti" w:hAnsi="Shruti"/>
              <w:sz w:val="22"/>
            </w:rPr>
          </w:pPr>
          <w:r>
            <w:rPr>
              <w:rFonts w:ascii="Shruti" w:hAnsi="Shruti"/>
              <w:sz w:val="22"/>
            </w:rPr>
            <w:t>Substitute Document Number: 88R 23922</w:t>
          </w:r>
        </w:p>
      </w:tc>
      <w:tc>
        <w:tcPr>
          <w:tcW w:w="2453" w:type="pct"/>
        </w:tcPr>
        <w:p w14:paraId="0E984645" w14:textId="77777777" w:rsidR="00EC379B" w:rsidRDefault="00EC379B" w:rsidP="006D504F">
          <w:pPr>
            <w:pStyle w:val="Footer"/>
            <w:rPr>
              <w:rStyle w:val="PageNumber"/>
            </w:rPr>
          </w:pPr>
        </w:p>
        <w:p w14:paraId="02CC7241" w14:textId="77777777" w:rsidR="00EC379B" w:rsidRDefault="00EC379B" w:rsidP="009C1E9A">
          <w:pPr>
            <w:pStyle w:val="Footer"/>
            <w:tabs>
              <w:tab w:val="clear" w:pos="8640"/>
              <w:tab w:val="right" w:pos="9360"/>
            </w:tabs>
            <w:jc w:val="right"/>
          </w:pPr>
        </w:p>
      </w:tc>
    </w:tr>
    <w:tr w:rsidR="00061CA2" w14:paraId="57D580AC" w14:textId="77777777" w:rsidTr="009C1E9A">
      <w:trPr>
        <w:cantSplit/>
        <w:trHeight w:val="323"/>
      </w:trPr>
      <w:tc>
        <w:tcPr>
          <w:tcW w:w="0" w:type="pct"/>
          <w:gridSpan w:val="3"/>
        </w:tcPr>
        <w:p w14:paraId="786A8A7E" w14:textId="77777777" w:rsidR="00EC379B" w:rsidRDefault="005A273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4FF0CC" w14:textId="77777777" w:rsidR="00EC379B" w:rsidRDefault="00EC379B" w:rsidP="009C1E9A">
          <w:pPr>
            <w:pStyle w:val="Footer"/>
            <w:tabs>
              <w:tab w:val="clear" w:pos="8640"/>
              <w:tab w:val="right" w:pos="9360"/>
            </w:tabs>
            <w:jc w:val="center"/>
          </w:pPr>
        </w:p>
      </w:tc>
    </w:tr>
  </w:tbl>
  <w:p w14:paraId="34B63A0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6AFE" w14:textId="77777777" w:rsidR="00AA7A7E" w:rsidRDefault="00AA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1DAA" w14:textId="77777777" w:rsidR="00000000" w:rsidRDefault="005A273D">
      <w:r>
        <w:separator/>
      </w:r>
    </w:p>
  </w:footnote>
  <w:footnote w:type="continuationSeparator" w:id="0">
    <w:p w14:paraId="50CB0CDB" w14:textId="77777777" w:rsidR="00000000" w:rsidRDefault="005A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9A15" w14:textId="77777777" w:rsidR="00AA7A7E" w:rsidRDefault="00AA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4567" w14:textId="77777777" w:rsidR="00AA7A7E" w:rsidRDefault="00AA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DF73" w14:textId="77777777" w:rsidR="00AA7A7E" w:rsidRDefault="00AA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0B33"/>
    <w:multiLevelType w:val="hybridMultilevel"/>
    <w:tmpl w:val="A7D629DC"/>
    <w:lvl w:ilvl="0" w:tplc="784210C8">
      <w:start w:val="1"/>
      <w:numFmt w:val="bullet"/>
      <w:lvlText w:val=""/>
      <w:lvlJc w:val="left"/>
      <w:pPr>
        <w:ind w:left="720" w:hanging="360"/>
      </w:pPr>
      <w:rPr>
        <w:rFonts w:ascii="Symbol" w:hAnsi="Symbol" w:hint="default"/>
      </w:rPr>
    </w:lvl>
    <w:lvl w:ilvl="1" w:tplc="0E52CF3A" w:tentative="1">
      <w:start w:val="1"/>
      <w:numFmt w:val="bullet"/>
      <w:lvlText w:val="o"/>
      <w:lvlJc w:val="left"/>
      <w:pPr>
        <w:ind w:left="1440" w:hanging="360"/>
      </w:pPr>
      <w:rPr>
        <w:rFonts w:ascii="Courier New" w:hAnsi="Courier New" w:cs="Courier New" w:hint="default"/>
      </w:rPr>
    </w:lvl>
    <w:lvl w:ilvl="2" w:tplc="A198D932" w:tentative="1">
      <w:start w:val="1"/>
      <w:numFmt w:val="bullet"/>
      <w:lvlText w:val=""/>
      <w:lvlJc w:val="left"/>
      <w:pPr>
        <w:ind w:left="2160" w:hanging="360"/>
      </w:pPr>
      <w:rPr>
        <w:rFonts w:ascii="Wingdings" w:hAnsi="Wingdings" w:hint="default"/>
      </w:rPr>
    </w:lvl>
    <w:lvl w:ilvl="3" w:tplc="F88EEBC6" w:tentative="1">
      <w:start w:val="1"/>
      <w:numFmt w:val="bullet"/>
      <w:lvlText w:val=""/>
      <w:lvlJc w:val="left"/>
      <w:pPr>
        <w:ind w:left="2880" w:hanging="360"/>
      </w:pPr>
      <w:rPr>
        <w:rFonts w:ascii="Symbol" w:hAnsi="Symbol" w:hint="default"/>
      </w:rPr>
    </w:lvl>
    <w:lvl w:ilvl="4" w:tplc="8DA20DFC" w:tentative="1">
      <w:start w:val="1"/>
      <w:numFmt w:val="bullet"/>
      <w:lvlText w:val="o"/>
      <w:lvlJc w:val="left"/>
      <w:pPr>
        <w:ind w:left="3600" w:hanging="360"/>
      </w:pPr>
      <w:rPr>
        <w:rFonts w:ascii="Courier New" w:hAnsi="Courier New" w:cs="Courier New" w:hint="default"/>
      </w:rPr>
    </w:lvl>
    <w:lvl w:ilvl="5" w:tplc="EC147BE2" w:tentative="1">
      <w:start w:val="1"/>
      <w:numFmt w:val="bullet"/>
      <w:lvlText w:val=""/>
      <w:lvlJc w:val="left"/>
      <w:pPr>
        <w:ind w:left="4320" w:hanging="360"/>
      </w:pPr>
      <w:rPr>
        <w:rFonts w:ascii="Wingdings" w:hAnsi="Wingdings" w:hint="default"/>
      </w:rPr>
    </w:lvl>
    <w:lvl w:ilvl="6" w:tplc="29420C26" w:tentative="1">
      <w:start w:val="1"/>
      <w:numFmt w:val="bullet"/>
      <w:lvlText w:val=""/>
      <w:lvlJc w:val="left"/>
      <w:pPr>
        <w:ind w:left="5040" w:hanging="360"/>
      </w:pPr>
      <w:rPr>
        <w:rFonts w:ascii="Symbol" w:hAnsi="Symbol" w:hint="default"/>
      </w:rPr>
    </w:lvl>
    <w:lvl w:ilvl="7" w:tplc="88549CD4" w:tentative="1">
      <w:start w:val="1"/>
      <w:numFmt w:val="bullet"/>
      <w:lvlText w:val="o"/>
      <w:lvlJc w:val="left"/>
      <w:pPr>
        <w:ind w:left="5760" w:hanging="360"/>
      </w:pPr>
      <w:rPr>
        <w:rFonts w:ascii="Courier New" w:hAnsi="Courier New" w:cs="Courier New" w:hint="default"/>
      </w:rPr>
    </w:lvl>
    <w:lvl w:ilvl="8" w:tplc="F3F230DE" w:tentative="1">
      <w:start w:val="1"/>
      <w:numFmt w:val="bullet"/>
      <w:lvlText w:val=""/>
      <w:lvlJc w:val="left"/>
      <w:pPr>
        <w:ind w:left="6480" w:hanging="360"/>
      </w:pPr>
      <w:rPr>
        <w:rFonts w:ascii="Wingdings" w:hAnsi="Wingdings" w:hint="default"/>
      </w:rPr>
    </w:lvl>
  </w:abstractNum>
  <w:abstractNum w:abstractNumId="1" w15:restartNumberingAfterBreak="0">
    <w:nsid w:val="6CC9189D"/>
    <w:multiLevelType w:val="hybridMultilevel"/>
    <w:tmpl w:val="FD368C8A"/>
    <w:lvl w:ilvl="0" w:tplc="9190A5BC">
      <w:start w:val="1"/>
      <w:numFmt w:val="bullet"/>
      <w:lvlText w:val=""/>
      <w:lvlJc w:val="left"/>
      <w:pPr>
        <w:ind w:left="720" w:hanging="360"/>
      </w:pPr>
      <w:rPr>
        <w:rFonts w:ascii="Symbol" w:hAnsi="Symbol" w:hint="default"/>
      </w:rPr>
    </w:lvl>
    <w:lvl w:ilvl="1" w:tplc="9BC0A5AE" w:tentative="1">
      <w:start w:val="1"/>
      <w:numFmt w:val="bullet"/>
      <w:lvlText w:val="o"/>
      <w:lvlJc w:val="left"/>
      <w:pPr>
        <w:ind w:left="1440" w:hanging="360"/>
      </w:pPr>
      <w:rPr>
        <w:rFonts w:ascii="Courier New" w:hAnsi="Courier New" w:cs="Courier New" w:hint="default"/>
      </w:rPr>
    </w:lvl>
    <w:lvl w:ilvl="2" w:tplc="7D966A5E" w:tentative="1">
      <w:start w:val="1"/>
      <w:numFmt w:val="bullet"/>
      <w:lvlText w:val=""/>
      <w:lvlJc w:val="left"/>
      <w:pPr>
        <w:ind w:left="2160" w:hanging="360"/>
      </w:pPr>
      <w:rPr>
        <w:rFonts w:ascii="Wingdings" w:hAnsi="Wingdings" w:hint="default"/>
      </w:rPr>
    </w:lvl>
    <w:lvl w:ilvl="3" w:tplc="07CC7030" w:tentative="1">
      <w:start w:val="1"/>
      <w:numFmt w:val="bullet"/>
      <w:lvlText w:val=""/>
      <w:lvlJc w:val="left"/>
      <w:pPr>
        <w:ind w:left="2880" w:hanging="360"/>
      </w:pPr>
      <w:rPr>
        <w:rFonts w:ascii="Symbol" w:hAnsi="Symbol" w:hint="default"/>
      </w:rPr>
    </w:lvl>
    <w:lvl w:ilvl="4" w:tplc="4028B668" w:tentative="1">
      <w:start w:val="1"/>
      <w:numFmt w:val="bullet"/>
      <w:lvlText w:val="o"/>
      <w:lvlJc w:val="left"/>
      <w:pPr>
        <w:ind w:left="3600" w:hanging="360"/>
      </w:pPr>
      <w:rPr>
        <w:rFonts w:ascii="Courier New" w:hAnsi="Courier New" w:cs="Courier New" w:hint="default"/>
      </w:rPr>
    </w:lvl>
    <w:lvl w:ilvl="5" w:tplc="6B08A260" w:tentative="1">
      <w:start w:val="1"/>
      <w:numFmt w:val="bullet"/>
      <w:lvlText w:val=""/>
      <w:lvlJc w:val="left"/>
      <w:pPr>
        <w:ind w:left="4320" w:hanging="360"/>
      </w:pPr>
      <w:rPr>
        <w:rFonts w:ascii="Wingdings" w:hAnsi="Wingdings" w:hint="default"/>
      </w:rPr>
    </w:lvl>
    <w:lvl w:ilvl="6" w:tplc="B8201A82" w:tentative="1">
      <w:start w:val="1"/>
      <w:numFmt w:val="bullet"/>
      <w:lvlText w:val=""/>
      <w:lvlJc w:val="left"/>
      <w:pPr>
        <w:ind w:left="5040" w:hanging="360"/>
      </w:pPr>
      <w:rPr>
        <w:rFonts w:ascii="Symbol" w:hAnsi="Symbol" w:hint="default"/>
      </w:rPr>
    </w:lvl>
    <w:lvl w:ilvl="7" w:tplc="66240B80" w:tentative="1">
      <w:start w:val="1"/>
      <w:numFmt w:val="bullet"/>
      <w:lvlText w:val="o"/>
      <w:lvlJc w:val="left"/>
      <w:pPr>
        <w:ind w:left="5760" w:hanging="360"/>
      </w:pPr>
      <w:rPr>
        <w:rFonts w:ascii="Courier New" w:hAnsi="Courier New" w:cs="Courier New" w:hint="default"/>
      </w:rPr>
    </w:lvl>
    <w:lvl w:ilvl="8" w:tplc="ABA445FA" w:tentative="1">
      <w:start w:val="1"/>
      <w:numFmt w:val="bullet"/>
      <w:lvlText w:val=""/>
      <w:lvlJc w:val="left"/>
      <w:pPr>
        <w:ind w:left="6480" w:hanging="360"/>
      </w:pPr>
      <w:rPr>
        <w:rFonts w:ascii="Wingdings" w:hAnsi="Wingdings" w:hint="default"/>
      </w:rPr>
    </w:lvl>
  </w:abstractNum>
  <w:abstractNum w:abstractNumId="2" w15:restartNumberingAfterBreak="0">
    <w:nsid w:val="71E82909"/>
    <w:multiLevelType w:val="hybridMultilevel"/>
    <w:tmpl w:val="D9C851A8"/>
    <w:lvl w:ilvl="0" w:tplc="BFEE8434">
      <w:start w:val="1"/>
      <w:numFmt w:val="bullet"/>
      <w:lvlText w:val=""/>
      <w:lvlJc w:val="left"/>
      <w:pPr>
        <w:ind w:left="720" w:hanging="360"/>
      </w:pPr>
      <w:rPr>
        <w:rFonts w:ascii="Symbol" w:hAnsi="Symbol" w:hint="default"/>
      </w:rPr>
    </w:lvl>
    <w:lvl w:ilvl="1" w:tplc="5D1668B4" w:tentative="1">
      <w:start w:val="1"/>
      <w:numFmt w:val="bullet"/>
      <w:lvlText w:val="o"/>
      <w:lvlJc w:val="left"/>
      <w:pPr>
        <w:ind w:left="1440" w:hanging="360"/>
      </w:pPr>
      <w:rPr>
        <w:rFonts w:ascii="Courier New" w:hAnsi="Courier New" w:cs="Courier New" w:hint="default"/>
      </w:rPr>
    </w:lvl>
    <w:lvl w:ilvl="2" w:tplc="16F61BA6" w:tentative="1">
      <w:start w:val="1"/>
      <w:numFmt w:val="bullet"/>
      <w:lvlText w:val=""/>
      <w:lvlJc w:val="left"/>
      <w:pPr>
        <w:ind w:left="2160" w:hanging="360"/>
      </w:pPr>
      <w:rPr>
        <w:rFonts w:ascii="Wingdings" w:hAnsi="Wingdings" w:hint="default"/>
      </w:rPr>
    </w:lvl>
    <w:lvl w:ilvl="3" w:tplc="07E8A15E" w:tentative="1">
      <w:start w:val="1"/>
      <w:numFmt w:val="bullet"/>
      <w:lvlText w:val=""/>
      <w:lvlJc w:val="left"/>
      <w:pPr>
        <w:ind w:left="2880" w:hanging="360"/>
      </w:pPr>
      <w:rPr>
        <w:rFonts w:ascii="Symbol" w:hAnsi="Symbol" w:hint="default"/>
      </w:rPr>
    </w:lvl>
    <w:lvl w:ilvl="4" w:tplc="1EA283B2" w:tentative="1">
      <w:start w:val="1"/>
      <w:numFmt w:val="bullet"/>
      <w:lvlText w:val="o"/>
      <w:lvlJc w:val="left"/>
      <w:pPr>
        <w:ind w:left="3600" w:hanging="360"/>
      </w:pPr>
      <w:rPr>
        <w:rFonts w:ascii="Courier New" w:hAnsi="Courier New" w:cs="Courier New" w:hint="default"/>
      </w:rPr>
    </w:lvl>
    <w:lvl w:ilvl="5" w:tplc="E1343BC4" w:tentative="1">
      <w:start w:val="1"/>
      <w:numFmt w:val="bullet"/>
      <w:lvlText w:val=""/>
      <w:lvlJc w:val="left"/>
      <w:pPr>
        <w:ind w:left="4320" w:hanging="360"/>
      </w:pPr>
      <w:rPr>
        <w:rFonts w:ascii="Wingdings" w:hAnsi="Wingdings" w:hint="default"/>
      </w:rPr>
    </w:lvl>
    <w:lvl w:ilvl="6" w:tplc="62B4EB50" w:tentative="1">
      <w:start w:val="1"/>
      <w:numFmt w:val="bullet"/>
      <w:lvlText w:val=""/>
      <w:lvlJc w:val="left"/>
      <w:pPr>
        <w:ind w:left="5040" w:hanging="360"/>
      </w:pPr>
      <w:rPr>
        <w:rFonts w:ascii="Symbol" w:hAnsi="Symbol" w:hint="default"/>
      </w:rPr>
    </w:lvl>
    <w:lvl w:ilvl="7" w:tplc="23F833E6" w:tentative="1">
      <w:start w:val="1"/>
      <w:numFmt w:val="bullet"/>
      <w:lvlText w:val="o"/>
      <w:lvlJc w:val="left"/>
      <w:pPr>
        <w:ind w:left="5760" w:hanging="360"/>
      </w:pPr>
      <w:rPr>
        <w:rFonts w:ascii="Courier New" w:hAnsi="Courier New" w:cs="Courier New" w:hint="default"/>
      </w:rPr>
    </w:lvl>
    <w:lvl w:ilvl="8" w:tplc="6BA6210E" w:tentative="1">
      <w:start w:val="1"/>
      <w:numFmt w:val="bullet"/>
      <w:lvlText w:val=""/>
      <w:lvlJc w:val="left"/>
      <w:pPr>
        <w:ind w:left="6480" w:hanging="360"/>
      </w:pPr>
      <w:rPr>
        <w:rFonts w:ascii="Wingdings" w:hAnsi="Wingdings" w:hint="default"/>
      </w:rPr>
    </w:lvl>
  </w:abstractNum>
  <w:num w:numId="1" w16cid:durableId="1547331341">
    <w:abstractNumId w:val="1"/>
  </w:num>
  <w:num w:numId="2" w16cid:durableId="621305756">
    <w:abstractNumId w:val="0"/>
  </w:num>
  <w:num w:numId="3" w16cid:durableId="163128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D6"/>
    <w:rsid w:val="00000A70"/>
    <w:rsid w:val="000032B8"/>
    <w:rsid w:val="00003B06"/>
    <w:rsid w:val="0000400E"/>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CC4"/>
    <w:rsid w:val="0003572D"/>
    <w:rsid w:val="00035DB0"/>
    <w:rsid w:val="00037088"/>
    <w:rsid w:val="000400D5"/>
    <w:rsid w:val="00043B84"/>
    <w:rsid w:val="0004512B"/>
    <w:rsid w:val="000463F0"/>
    <w:rsid w:val="00046BDA"/>
    <w:rsid w:val="0004762E"/>
    <w:rsid w:val="000532BD"/>
    <w:rsid w:val="000533D6"/>
    <w:rsid w:val="000555E0"/>
    <w:rsid w:val="00055C12"/>
    <w:rsid w:val="000608B0"/>
    <w:rsid w:val="0006104C"/>
    <w:rsid w:val="00061CA2"/>
    <w:rsid w:val="00064BF2"/>
    <w:rsid w:val="000667BA"/>
    <w:rsid w:val="000676A7"/>
    <w:rsid w:val="00073914"/>
    <w:rsid w:val="00074236"/>
    <w:rsid w:val="000746BD"/>
    <w:rsid w:val="00076D7D"/>
    <w:rsid w:val="00080D95"/>
    <w:rsid w:val="00086E61"/>
    <w:rsid w:val="00090E6B"/>
    <w:rsid w:val="00091B2C"/>
    <w:rsid w:val="000924A1"/>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74F"/>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0462"/>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0B2"/>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503"/>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D7F"/>
    <w:rsid w:val="00251ED5"/>
    <w:rsid w:val="002537FE"/>
    <w:rsid w:val="00255EB6"/>
    <w:rsid w:val="00257429"/>
    <w:rsid w:val="00260FA4"/>
    <w:rsid w:val="00261183"/>
    <w:rsid w:val="00262A66"/>
    <w:rsid w:val="00263140"/>
    <w:rsid w:val="002631C8"/>
    <w:rsid w:val="00265133"/>
    <w:rsid w:val="00265A23"/>
    <w:rsid w:val="00266BC6"/>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7CA"/>
    <w:rsid w:val="002B7BA7"/>
    <w:rsid w:val="002C1C17"/>
    <w:rsid w:val="002C3203"/>
    <w:rsid w:val="002C3B07"/>
    <w:rsid w:val="002C532B"/>
    <w:rsid w:val="002C5713"/>
    <w:rsid w:val="002D05CC"/>
    <w:rsid w:val="002D305A"/>
    <w:rsid w:val="002E21B8"/>
    <w:rsid w:val="002E7DF9"/>
    <w:rsid w:val="002F097B"/>
    <w:rsid w:val="002F2147"/>
    <w:rsid w:val="002F3111"/>
    <w:rsid w:val="002F4A12"/>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3F59"/>
    <w:rsid w:val="00336BA4"/>
    <w:rsid w:val="00336C7A"/>
    <w:rsid w:val="00337392"/>
    <w:rsid w:val="00337659"/>
    <w:rsid w:val="003427C9"/>
    <w:rsid w:val="00343A92"/>
    <w:rsid w:val="00344530"/>
    <w:rsid w:val="003446DC"/>
    <w:rsid w:val="00347B4A"/>
    <w:rsid w:val="003500C3"/>
    <w:rsid w:val="00350C70"/>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4CE"/>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9D3"/>
    <w:rsid w:val="00441016"/>
    <w:rsid w:val="00441F2F"/>
    <w:rsid w:val="0044228B"/>
    <w:rsid w:val="00447018"/>
    <w:rsid w:val="00450561"/>
    <w:rsid w:val="00450A40"/>
    <w:rsid w:val="00451D7C"/>
    <w:rsid w:val="00452FC3"/>
    <w:rsid w:val="00454715"/>
    <w:rsid w:val="00455936"/>
    <w:rsid w:val="00455ACE"/>
    <w:rsid w:val="00461B69"/>
    <w:rsid w:val="00462B3D"/>
    <w:rsid w:val="00473C89"/>
    <w:rsid w:val="00474927"/>
    <w:rsid w:val="00475913"/>
    <w:rsid w:val="00480080"/>
    <w:rsid w:val="004824A7"/>
    <w:rsid w:val="00483AF0"/>
    <w:rsid w:val="00484167"/>
    <w:rsid w:val="00492211"/>
    <w:rsid w:val="00492325"/>
    <w:rsid w:val="00492A6D"/>
    <w:rsid w:val="00494303"/>
    <w:rsid w:val="00495BCB"/>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5B4"/>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F2D"/>
    <w:rsid w:val="005847EF"/>
    <w:rsid w:val="005851E6"/>
    <w:rsid w:val="005878B7"/>
    <w:rsid w:val="0059117A"/>
    <w:rsid w:val="00592C9A"/>
    <w:rsid w:val="00593DF8"/>
    <w:rsid w:val="00595745"/>
    <w:rsid w:val="005A0E18"/>
    <w:rsid w:val="005A12A5"/>
    <w:rsid w:val="005A273D"/>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4F40"/>
    <w:rsid w:val="005D767D"/>
    <w:rsid w:val="005D7A30"/>
    <w:rsid w:val="005D7D3B"/>
    <w:rsid w:val="005E10D8"/>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0BC9"/>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0B6"/>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77"/>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7B3"/>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B65"/>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6C5"/>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6D7E"/>
    <w:rsid w:val="00A27255"/>
    <w:rsid w:val="00A32304"/>
    <w:rsid w:val="00A3420E"/>
    <w:rsid w:val="00A35D66"/>
    <w:rsid w:val="00A41085"/>
    <w:rsid w:val="00A425FA"/>
    <w:rsid w:val="00A43960"/>
    <w:rsid w:val="00A46902"/>
    <w:rsid w:val="00A50CDB"/>
    <w:rsid w:val="00A51364"/>
    <w:rsid w:val="00A51F3E"/>
    <w:rsid w:val="00A52412"/>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A7E"/>
    <w:rsid w:val="00AA7E52"/>
    <w:rsid w:val="00AB1655"/>
    <w:rsid w:val="00AB1873"/>
    <w:rsid w:val="00AB2C05"/>
    <w:rsid w:val="00AB3536"/>
    <w:rsid w:val="00AB474B"/>
    <w:rsid w:val="00AB5CCC"/>
    <w:rsid w:val="00AB74E2"/>
    <w:rsid w:val="00AC2530"/>
    <w:rsid w:val="00AC29F7"/>
    <w:rsid w:val="00AC2E9A"/>
    <w:rsid w:val="00AC5AAB"/>
    <w:rsid w:val="00AC5AEC"/>
    <w:rsid w:val="00AC5F28"/>
    <w:rsid w:val="00AC6900"/>
    <w:rsid w:val="00AD304B"/>
    <w:rsid w:val="00AD3E9C"/>
    <w:rsid w:val="00AD4497"/>
    <w:rsid w:val="00AD7780"/>
    <w:rsid w:val="00AE2263"/>
    <w:rsid w:val="00AE248E"/>
    <w:rsid w:val="00AE2D12"/>
    <w:rsid w:val="00AE2F06"/>
    <w:rsid w:val="00AE4F1C"/>
    <w:rsid w:val="00AF1433"/>
    <w:rsid w:val="00AF48B4"/>
    <w:rsid w:val="00AF4923"/>
    <w:rsid w:val="00AF5549"/>
    <w:rsid w:val="00AF7C74"/>
    <w:rsid w:val="00B000AF"/>
    <w:rsid w:val="00B04E79"/>
    <w:rsid w:val="00B07488"/>
    <w:rsid w:val="00B075A2"/>
    <w:rsid w:val="00B10DD2"/>
    <w:rsid w:val="00B115DC"/>
    <w:rsid w:val="00B11952"/>
    <w:rsid w:val="00B149AC"/>
    <w:rsid w:val="00B14BD2"/>
    <w:rsid w:val="00B1557F"/>
    <w:rsid w:val="00B1668D"/>
    <w:rsid w:val="00B17981"/>
    <w:rsid w:val="00B229A0"/>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242"/>
    <w:rsid w:val="00BA146A"/>
    <w:rsid w:val="00BA32EE"/>
    <w:rsid w:val="00BB117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4D7"/>
    <w:rsid w:val="00C22987"/>
    <w:rsid w:val="00C23956"/>
    <w:rsid w:val="00C248E6"/>
    <w:rsid w:val="00C25B60"/>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522"/>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07"/>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54E"/>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1F2F"/>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0"/>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6E3E"/>
    <w:rsid w:val="00FB73AE"/>
    <w:rsid w:val="00FC5388"/>
    <w:rsid w:val="00FC6E8F"/>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6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D4902F-FCE6-40C9-BAB1-FF4B02AD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B6E3E"/>
    <w:rPr>
      <w:sz w:val="16"/>
      <w:szCs w:val="16"/>
    </w:rPr>
  </w:style>
  <w:style w:type="paragraph" w:styleId="CommentText">
    <w:name w:val="annotation text"/>
    <w:basedOn w:val="Normal"/>
    <w:link w:val="CommentTextChar"/>
    <w:semiHidden/>
    <w:unhideWhenUsed/>
    <w:rsid w:val="00FB6E3E"/>
    <w:rPr>
      <w:sz w:val="20"/>
      <w:szCs w:val="20"/>
    </w:rPr>
  </w:style>
  <w:style w:type="character" w:customStyle="1" w:styleId="CommentTextChar">
    <w:name w:val="Comment Text Char"/>
    <w:basedOn w:val="DefaultParagraphFont"/>
    <w:link w:val="CommentText"/>
    <w:semiHidden/>
    <w:rsid w:val="00FB6E3E"/>
  </w:style>
  <w:style w:type="paragraph" w:styleId="CommentSubject">
    <w:name w:val="annotation subject"/>
    <w:basedOn w:val="CommentText"/>
    <w:next w:val="CommentText"/>
    <w:link w:val="CommentSubjectChar"/>
    <w:semiHidden/>
    <w:unhideWhenUsed/>
    <w:rsid w:val="00FB6E3E"/>
    <w:rPr>
      <w:b/>
      <w:bCs/>
    </w:rPr>
  </w:style>
  <w:style w:type="character" w:customStyle="1" w:styleId="CommentSubjectChar">
    <w:name w:val="Comment Subject Char"/>
    <w:basedOn w:val="CommentTextChar"/>
    <w:link w:val="CommentSubject"/>
    <w:semiHidden/>
    <w:rsid w:val="00FB6E3E"/>
    <w:rPr>
      <w:b/>
      <w:bCs/>
    </w:rPr>
  </w:style>
  <w:style w:type="paragraph" w:styleId="Revision">
    <w:name w:val="Revision"/>
    <w:hidden/>
    <w:uiPriority w:val="99"/>
    <w:semiHidden/>
    <w:rsid w:val="00C25B60"/>
    <w:rPr>
      <w:sz w:val="24"/>
      <w:szCs w:val="24"/>
    </w:rPr>
  </w:style>
  <w:style w:type="paragraph" w:styleId="ListParagraph">
    <w:name w:val="List Paragraph"/>
    <w:basedOn w:val="Normal"/>
    <w:uiPriority w:val="34"/>
    <w:qFormat/>
    <w:rsid w:val="006B1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3784</Characters>
  <Application>Microsoft Office Word</Application>
  <DocSecurity>4</DocSecurity>
  <Lines>88</Lines>
  <Paragraphs>27</Paragraphs>
  <ScaleCrop>false</ScaleCrop>
  <HeadingPairs>
    <vt:vector size="2" baseType="variant">
      <vt:variant>
        <vt:lpstr>Title</vt:lpstr>
      </vt:variant>
      <vt:variant>
        <vt:i4>1</vt:i4>
      </vt:variant>
    </vt:vector>
  </HeadingPairs>
  <TitlesOfParts>
    <vt:vector size="1" baseType="lpstr">
      <vt:lpstr>BA - HB04506 (Committee Report (Substituted))</vt:lpstr>
    </vt:vector>
  </TitlesOfParts>
  <Company>State of Texas</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26737</dc:subject>
  <dc:creator>State of Texas</dc:creator>
  <dc:description>HB 4506 by Cortez-(H)Insurance (Substitute Document Number: 88R 23922)</dc:description>
  <cp:lastModifiedBy>Stacey Nicchio</cp:lastModifiedBy>
  <cp:revision>2</cp:revision>
  <cp:lastPrinted>2003-11-26T17:21:00Z</cp:lastPrinted>
  <dcterms:created xsi:type="dcterms:W3CDTF">2023-05-03T19:30:00Z</dcterms:created>
  <dcterms:modified xsi:type="dcterms:W3CDTF">2023-05-03T19:30:00Z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23.119.108</vt:lpwstr>
  </property>
</Properties>
</file>