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87A21" w14:paraId="6F07A1C8" w14:textId="77777777" w:rsidTr="00345119">
        <w:tc>
          <w:tcPr>
            <w:tcW w:w="9576" w:type="dxa"/>
            <w:noWrap/>
          </w:tcPr>
          <w:p w14:paraId="7349BDEA" w14:textId="77777777" w:rsidR="008423E4" w:rsidRPr="0022177D" w:rsidRDefault="009748A0" w:rsidP="007A1BEF">
            <w:pPr>
              <w:pStyle w:val="Heading1"/>
            </w:pPr>
            <w:r w:rsidRPr="00631897">
              <w:t>BILL ANALYSIS</w:t>
            </w:r>
          </w:p>
        </w:tc>
      </w:tr>
    </w:tbl>
    <w:p w14:paraId="12D66587" w14:textId="77777777" w:rsidR="008423E4" w:rsidRPr="0022177D" w:rsidRDefault="008423E4" w:rsidP="007A1BEF">
      <w:pPr>
        <w:jc w:val="center"/>
      </w:pPr>
    </w:p>
    <w:p w14:paraId="4601A6DD" w14:textId="77777777" w:rsidR="008423E4" w:rsidRPr="00B31F0E" w:rsidRDefault="008423E4" w:rsidP="007A1BEF"/>
    <w:p w14:paraId="486B3650" w14:textId="77777777" w:rsidR="008423E4" w:rsidRPr="00742794" w:rsidRDefault="008423E4" w:rsidP="007A1BE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87A21" w14:paraId="72AAF511" w14:textId="77777777" w:rsidTr="00345119">
        <w:tc>
          <w:tcPr>
            <w:tcW w:w="9576" w:type="dxa"/>
          </w:tcPr>
          <w:p w14:paraId="540F8695" w14:textId="130D962F" w:rsidR="008423E4" w:rsidRPr="00861995" w:rsidRDefault="009748A0" w:rsidP="007A1BEF">
            <w:pPr>
              <w:jc w:val="right"/>
            </w:pPr>
            <w:r>
              <w:t>C.S.H.B. 4540</w:t>
            </w:r>
          </w:p>
        </w:tc>
      </w:tr>
      <w:tr w:rsidR="00787A21" w14:paraId="468DEC0A" w14:textId="77777777" w:rsidTr="00345119">
        <w:tc>
          <w:tcPr>
            <w:tcW w:w="9576" w:type="dxa"/>
          </w:tcPr>
          <w:p w14:paraId="23887F72" w14:textId="50986A66" w:rsidR="008423E4" w:rsidRPr="00861995" w:rsidRDefault="009748A0" w:rsidP="007A1BEF">
            <w:pPr>
              <w:jc w:val="right"/>
            </w:pPr>
            <w:r>
              <w:t xml:space="preserve">By: </w:t>
            </w:r>
            <w:r w:rsidR="00A84B84">
              <w:t>Longoria</w:t>
            </w:r>
          </w:p>
        </w:tc>
      </w:tr>
      <w:tr w:rsidR="00787A21" w14:paraId="5212EAAC" w14:textId="77777777" w:rsidTr="00345119">
        <w:tc>
          <w:tcPr>
            <w:tcW w:w="9576" w:type="dxa"/>
          </w:tcPr>
          <w:p w14:paraId="4DA51B3E" w14:textId="1FFD526B" w:rsidR="008423E4" w:rsidRPr="00861995" w:rsidRDefault="009748A0" w:rsidP="007A1BEF">
            <w:pPr>
              <w:jc w:val="right"/>
            </w:pPr>
            <w:r>
              <w:t>Pensions, Investments &amp; Financial Services</w:t>
            </w:r>
          </w:p>
        </w:tc>
      </w:tr>
      <w:tr w:rsidR="00787A21" w14:paraId="2FDC4E94" w14:textId="77777777" w:rsidTr="00345119">
        <w:tc>
          <w:tcPr>
            <w:tcW w:w="9576" w:type="dxa"/>
          </w:tcPr>
          <w:p w14:paraId="3AC19776" w14:textId="1889B510" w:rsidR="008423E4" w:rsidRDefault="009748A0" w:rsidP="007A1BEF">
            <w:pPr>
              <w:jc w:val="right"/>
            </w:pPr>
            <w:r>
              <w:t>Committee Report (Substituted)</w:t>
            </w:r>
          </w:p>
        </w:tc>
      </w:tr>
    </w:tbl>
    <w:p w14:paraId="31BF4CE6" w14:textId="77777777" w:rsidR="008423E4" w:rsidRDefault="008423E4" w:rsidP="007A1BEF">
      <w:pPr>
        <w:tabs>
          <w:tab w:val="right" w:pos="9360"/>
        </w:tabs>
      </w:pPr>
    </w:p>
    <w:p w14:paraId="12F5D1D3" w14:textId="77777777" w:rsidR="008423E4" w:rsidRDefault="008423E4" w:rsidP="007A1BEF"/>
    <w:p w14:paraId="7B7F3CF4" w14:textId="77777777" w:rsidR="008423E4" w:rsidRDefault="008423E4" w:rsidP="007A1BE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87A21" w14:paraId="3DAA5E79" w14:textId="77777777" w:rsidTr="00790A93">
        <w:tc>
          <w:tcPr>
            <w:tcW w:w="9360" w:type="dxa"/>
          </w:tcPr>
          <w:p w14:paraId="5B524A69" w14:textId="77777777" w:rsidR="008423E4" w:rsidRPr="00A8133F" w:rsidRDefault="009748A0" w:rsidP="007A1BE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EFD7C07" w14:textId="77777777" w:rsidR="008423E4" w:rsidRDefault="008423E4" w:rsidP="007A1BEF"/>
          <w:p w14:paraId="5D8C093C" w14:textId="6CF2324D" w:rsidR="008423E4" w:rsidRDefault="009748A0" w:rsidP="007A1BEF">
            <w:pPr>
              <w:pStyle w:val="Header"/>
              <w:jc w:val="both"/>
            </w:pPr>
            <w:r>
              <w:t>There are two judicial retirement systems in Texas</w:t>
            </w:r>
            <w:r w:rsidR="006218CA">
              <w:t>—</w:t>
            </w:r>
            <w:r w:rsidR="00773BE6">
              <w:t>the</w:t>
            </w:r>
            <w:r w:rsidR="006218CA">
              <w:rPr>
                <w:bCs/>
              </w:rPr>
              <w:t xml:space="preserve"> Judicial Retirement</w:t>
            </w:r>
            <w:r w:rsidR="006218CA" w:rsidRPr="00167612">
              <w:t xml:space="preserve"> System </w:t>
            </w:r>
            <w:r w:rsidR="006218CA">
              <w:t>o</w:t>
            </w:r>
            <w:r w:rsidR="006218CA" w:rsidRPr="00167612">
              <w:t>f Texas Plan One</w:t>
            </w:r>
            <w:r w:rsidR="006218CA">
              <w:t xml:space="preserve"> </w:t>
            </w:r>
            <w:r w:rsidR="00D6277C">
              <w:t xml:space="preserve">(JRS-1) </w:t>
            </w:r>
            <w:r w:rsidR="006218CA">
              <w:t>and the Judicial Retirement System of Texas Plan Two</w:t>
            </w:r>
            <w:r w:rsidR="00D6277C">
              <w:t xml:space="preserve"> (JRS-2)</w:t>
            </w:r>
            <w:r>
              <w:t xml:space="preserve">. </w:t>
            </w:r>
            <w:r w:rsidR="00E60E4C">
              <w:t xml:space="preserve">Membership in each plan is based on the date a judge began service, and the </w:t>
            </w:r>
            <w:r w:rsidR="00D6277C">
              <w:t>majority of active and retired judges are members of JRS-2</w:t>
            </w:r>
            <w:r>
              <w:t>.</w:t>
            </w:r>
            <w:r w:rsidR="00502734">
              <w:t xml:space="preserve"> </w:t>
            </w:r>
            <w:r w:rsidR="00D6277C">
              <w:t>Current law provides for annuity increases based on the salary being paid for a judge of a court of the same classification on which a retired member last served</w:t>
            </w:r>
            <w:r w:rsidR="00BB4401">
              <w:t>, with some differences in how increases are determined under each system</w:t>
            </w:r>
            <w:r w:rsidR="00D6277C">
              <w:t xml:space="preserve">. </w:t>
            </w:r>
            <w:r>
              <w:t xml:space="preserve">Effective </w:t>
            </w:r>
            <w:r w:rsidR="00773BE6">
              <w:t>September </w:t>
            </w:r>
            <w:r>
              <w:t xml:space="preserve">2019, the state increased salaries for judges </w:t>
            </w:r>
            <w:r w:rsidR="00877067">
              <w:t>based on years of service</w:t>
            </w:r>
            <w:r>
              <w:t xml:space="preserve">. </w:t>
            </w:r>
            <w:r w:rsidR="00297F39">
              <w:t>However, retired judges</w:t>
            </w:r>
            <w:r w:rsidR="00E60E4C">
              <w:t xml:space="preserve"> have </w:t>
            </w:r>
            <w:r>
              <w:t>not receive</w:t>
            </w:r>
            <w:r w:rsidR="00E60E4C">
              <w:t>d</w:t>
            </w:r>
            <w:r>
              <w:t xml:space="preserve"> </w:t>
            </w:r>
            <w:r w:rsidR="00BB4401">
              <w:t>the</w:t>
            </w:r>
            <w:r w:rsidR="00297F39">
              <w:t xml:space="preserve"> </w:t>
            </w:r>
            <w:r>
              <w:t xml:space="preserve">accompanying </w:t>
            </w:r>
            <w:r w:rsidR="00297F39">
              <w:t xml:space="preserve">annuity </w:t>
            </w:r>
            <w:r>
              <w:t>increase</w:t>
            </w:r>
            <w:r w:rsidR="00E60E4C">
              <w:t>s</w:t>
            </w:r>
            <w:r>
              <w:t>. C</w:t>
            </w:r>
            <w:r w:rsidR="00802681">
              <w:t>.</w:t>
            </w:r>
            <w:r>
              <w:t>S</w:t>
            </w:r>
            <w:r w:rsidR="00802681">
              <w:t>.</w:t>
            </w:r>
            <w:r>
              <w:t>H</w:t>
            </w:r>
            <w:r w:rsidR="00802681">
              <w:t>.</w:t>
            </w:r>
            <w:r>
              <w:t>B</w:t>
            </w:r>
            <w:r w:rsidR="00802681">
              <w:t xml:space="preserve">. </w:t>
            </w:r>
            <w:r>
              <w:t xml:space="preserve">4540 </w:t>
            </w:r>
            <w:r w:rsidR="00802681">
              <w:t xml:space="preserve">seeks to </w:t>
            </w:r>
            <w:r>
              <w:t>address the long-deferred increases for retired judges</w:t>
            </w:r>
            <w:r w:rsidR="00802681">
              <w:t>' annuities</w:t>
            </w:r>
            <w:r>
              <w:t xml:space="preserve"> by </w:t>
            </w:r>
            <w:r w:rsidR="00802681">
              <w:t xml:space="preserve">connecting such </w:t>
            </w:r>
            <w:r>
              <w:t>annuities to the pay of active judge</w:t>
            </w:r>
            <w:r w:rsidR="00802681">
              <w:t>s consisten</w:t>
            </w:r>
            <w:r w:rsidR="00297F39">
              <w:t>t</w:t>
            </w:r>
            <w:r w:rsidR="00802681">
              <w:t xml:space="preserve"> with the </w:t>
            </w:r>
            <w:r>
              <w:t>legislature</w:t>
            </w:r>
            <w:r w:rsidR="00802681">
              <w:t>'</w:t>
            </w:r>
            <w:r>
              <w:t xml:space="preserve">s intent to adjust retirement annuities to reflect modest increases in recognition of inflation for those who served our state on the bench. </w:t>
            </w:r>
          </w:p>
          <w:p w14:paraId="604B23D4" w14:textId="77777777" w:rsidR="008423E4" w:rsidRPr="00E26B13" w:rsidRDefault="008423E4" w:rsidP="007A1BEF">
            <w:pPr>
              <w:rPr>
                <w:b/>
              </w:rPr>
            </w:pPr>
          </w:p>
        </w:tc>
      </w:tr>
      <w:tr w:rsidR="00787A21" w14:paraId="06E452FF" w14:textId="77777777" w:rsidTr="00790A93">
        <w:tc>
          <w:tcPr>
            <w:tcW w:w="9360" w:type="dxa"/>
          </w:tcPr>
          <w:p w14:paraId="4BF7155C" w14:textId="77777777" w:rsidR="0017725B" w:rsidRDefault="009748A0" w:rsidP="007A1B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FB363F" w14:textId="77777777" w:rsidR="0017725B" w:rsidRDefault="0017725B" w:rsidP="007A1BEF">
            <w:pPr>
              <w:rPr>
                <w:b/>
                <w:u w:val="single"/>
              </w:rPr>
            </w:pPr>
          </w:p>
          <w:p w14:paraId="34339208" w14:textId="3975FE78" w:rsidR="009C0D3C" w:rsidRPr="009C0D3C" w:rsidRDefault="009748A0" w:rsidP="007A1BEF">
            <w:pPr>
              <w:jc w:val="both"/>
            </w:pPr>
            <w:r>
              <w:t>It is the committee's opinion that this bill does not e</w:t>
            </w:r>
            <w:r>
              <w:t>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C1042ED" w14:textId="77777777" w:rsidR="0017725B" w:rsidRPr="0017725B" w:rsidRDefault="0017725B" w:rsidP="007A1BEF">
            <w:pPr>
              <w:rPr>
                <w:b/>
                <w:u w:val="single"/>
              </w:rPr>
            </w:pPr>
          </w:p>
        </w:tc>
      </w:tr>
      <w:tr w:rsidR="00787A21" w14:paraId="7C404588" w14:textId="77777777" w:rsidTr="00790A93">
        <w:tc>
          <w:tcPr>
            <w:tcW w:w="9360" w:type="dxa"/>
          </w:tcPr>
          <w:p w14:paraId="0050AC66" w14:textId="77777777" w:rsidR="008423E4" w:rsidRPr="00A8133F" w:rsidRDefault="009748A0" w:rsidP="007A1BE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F27B87" w14:textId="77777777" w:rsidR="008423E4" w:rsidRDefault="008423E4" w:rsidP="007A1BEF"/>
          <w:p w14:paraId="785ACB97" w14:textId="4E415E69" w:rsidR="009C0D3C" w:rsidRDefault="009748A0" w:rsidP="007A1B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</w:t>
            </w:r>
            <w:r>
              <w:t>ittee's opinion that this bill does not expressly grant any additional rulemaking authority to a state officer, department, agency, or institution.</w:t>
            </w:r>
          </w:p>
          <w:p w14:paraId="60AA31AB" w14:textId="77777777" w:rsidR="008423E4" w:rsidRPr="00E21FDC" w:rsidRDefault="008423E4" w:rsidP="007A1BEF">
            <w:pPr>
              <w:rPr>
                <w:b/>
              </w:rPr>
            </w:pPr>
          </w:p>
        </w:tc>
      </w:tr>
      <w:tr w:rsidR="00787A21" w14:paraId="6DE3A7BA" w14:textId="77777777" w:rsidTr="00790A93">
        <w:tc>
          <w:tcPr>
            <w:tcW w:w="9360" w:type="dxa"/>
          </w:tcPr>
          <w:p w14:paraId="48B87F7F" w14:textId="77777777" w:rsidR="008423E4" w:rsidRPr="00A8133F" w:rsidRDefault="009748A0" w:rsidP="007A1BE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900062C" w14:textId="77777777" w:rsidR="008423E4" w:rsidRDefault="008423E4" w:rsidP="007A1BEF"/>
          <w:p w14:paraId="6D1356BA" w14:textId="2280992A" w:rsidR="009D7455" w:rsidRDefault="009748A0" w:rsidP="007A1B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4540 </w:t>
            </w:r>
            <w:r w:rsidR="00167612">
              <w:t xml:space="preserve">requires the Employees Retirement System of Texas (ERS), if the 88th Legislature enacts legislation that becomes law that increases the state salary used to compute the service retirement annuity of a judge under the </w:t>
            </w:r>
            <w:r w:rsidR="00167612" w:rsidRPr="00167612">
              <w:t xml:space="preserve">Judicial Retirement System </w:t>
            </w:r>
            <w:r w:rsidR="00167612">
              <w:t>o</w:t>
            </w:r>
            <w:r w:rsidR="00167612" w:rsidRPr="00167612">
              <w:t>f Texas Plan One</w:t>
            </w:r>
            <w:r w:rsidR="00167612">
              <w:t xml:space="preserve"> or the Judicial Retirement System of Texas Plan Two, </w:t>
            </w:r>
            <w:r w:rsidR="007E6366">
              <w:t xml:space="preserve">to </w:t>
            </w:r>
            <w:r w:rsidR="00167612">
              <w:t xml:space="preserve">recompute </w:t>
            </w:r>
            <w:r w:rsidR="00DA1B5F">
              <w:t xml:space="preserve">certain </w:t>
            </w:r>
            <w:r w:rsidR="00B95CF0">
              <w:t xml:space="preserve">service or disability retirement </w:t>
            </w:r>
            <w:r w:rsidR="00DA1B5F">
              <w:t>annuities</w:t>
            </w:r>
            <w:r w:rsidR="00B95CF0">
              <w:t xml:space="preserve"> and death benefit annuities</w:t>
            </w:r>
            <w:r w:rsidR="00DA1B5F">
              <w:t xml:space="preserve"> paid under provisions governing those retirement systems</w:t>
            </w:r>
            <w:r>
              <w:t xml:space="preserve"> us</w:t>
            </w:r>
            <w:r w:rsidR="00DA1B5F">
              <w:t>ing</w:t>
            </w:r>
            <w:r w:rsidR="003D0013">
              <w:t xml:space="preserve"> </w:t>
            </w:r>
            <w:r w:rsidR="007E6366">
              <w:t xml:space="preserve">the </w:t>
            </w:r>
            <w:r w:rsidR="006D00E5">
              <w:t xml:space="preserve">salary prescribed in statutory provisions providing the method for calculating </w:t>
            </w:r>
            <w:r w:rsidR="003D0013">
              <w:t>a judge's or justice</w:t>
            </w:r>
            <w:r w:rsidR="00773BE6">
              <w:t>'</w:t>
            </w:r>
            <w:r w:rsidR="003D0013">
              <w:t xml:space="preserve">s salary </w:t>
            </w:r>
            <w:r w:rsidR="00DA1B5F">
              <w:t xml:space="preserve">that is in effect on the effective date of the salary increase </w:t>
            </w:r>
            <w:r w:rsidR="00DA1B5F" w:rsidRPr="00DA1B5F">
              <w:t>for the judge of a court of the same classification as the court on which the former member on whose service the annuity is based last served before the member retired or died, as applicable</w:t>
            </w:r>
            <w:r w:rsidR="003D0013">
              <w:t>.</w:t>
            </w:r>
          </w:p>
          <w:p w14:paraId="0C9AD60E" w14:textId="77777777" w:rsidR="009D7455" w:rsidRDefault="009D7455" w:rsidP="007A1B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78E934" w14:textId="4BFEE3C8" w:rsidR="007E6366" w:rsidRDefault="009748A0" w:rsidP="007A1B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4540 requires ERS</w:t>
            </w:r>
            <w:r w:rsidR="00B95CF0">
              <w:t xml:space="preserve">, if such legislation </w:t>
            </w:r>
            <w:r w:rsidR="009D7455">
              <w:t xml:space="preserve">does not become </w:t>
            </w:r>
            <w:r w:rsidR="00B95CF0">
              <w:t>law,</w:t>
            </w:r>
            <w:r>
              <w:t xml:space="preserve"> to recompute </w:t>
            </w:r>
            <w:r w:rsidR="006D00E5">
              <w:t xml:space="preserve">on the bill's effective date </w:t>
            </w:r>
            <w:r>
              <w:t xml:space="preserve">those </w:t>
            </w:r>
            <w:r w:rsidR="00B95CF0">
              <w:t xml:space="preserve">service and disability retirement annuities and death benefit </w:t>
            </w:r>
            <w:r>
              <w:t xml:space="preserve">annuities paid under </w:t>
            </w:r>
            <w:r w:rsidR="00B95CF0">
              <w:t xml:space="preserve">the </w:t>
            </w:r>
            <w:r w:rsidR="00B95CF0" w:rsidRPr="00167612">
              <w:t xml:space="preserve">Judicial Retirement System </w:t>
            </w:r>
            <w:r w:rsidR="00B95CF0">
              <w:t>o</w:t>
            </w:r>
            <w:r w:rsidR="00B95CF0" w:rsidRPr="00167612">
              <w:t>f Texas Plan One</w:t>
            </w:r>
            <w:r w:rsidR="00B95CF0">
              <w:t xml:space="preserve"> or the Judicial Retirement System of Texas Plan Two </w:t>
            </w:r>
            <w:r w:rsidR="006D00E5">
              <w:t xml:space="preserve">using </w:t>
            </w:r>
            <w:r w:rsidR="008248B0">
              <w:t xml:space="preserve">the </w:t>
            </w:r>
            <w:r w:rsidR="006D00E5">
              <w:t>salary prescribed in statutory provisions providing the method for calculating a judge's or justice</w:t>
            </w:r>
            <w:r w:rsidR="007B69C1">
              <w:t>'</w:t>
            </w:r>
            <w:r w:rsidR="006D00E5">
              <w:t xml:space="preserve">s salary </w:t>
            </w:r>
            <w:r w:rsidRPr="007E6366">
              <w:t>that was in effect on September 1, 2019</w:t>
            </w:r>
            <w:r>
              <w:t>, and</w:t>
            </w:r>
            <w:r w:rsidR="00B95CF0">
              <w:t xml:space="preserve"> based on an effective date of retirement or death</w:t>
            </w:r>
            <w:r>
              <w:t xml:space="preserve"> </w:t>
            </w:r>
            <w:r w:rsidR="00B95CF0">
              <w:t xml:space="preserve">that occurred before </w:t>
            </w:r>
            <w:r>
              <w:t>that date</w:t>
            </w:r>
            <w:r w:rsidR="00B95CF0">
              <w:t>,</w:t>
            </w:r>
            <w:r>
              <w:t xml:space="preserve"> as applicable, </w:t>
            </w:r>
            <w:r w:rsidRPr="007E6366">
              <w:t>for the judge of a court of the same classification as the court on which the former member on wh</w:t>
            </w:r>
            <w:r w:rsidRPr="007E6366">
              <w:t>ose service the annuity is based last served before the member retired or died, as applicable.</w:t>
            </w:r>
            <w:r>
              <w:t xml:space="preserve"> </w:t>
            </w:r>
          </w:p>
          <w:p w14:paraId="05667DE3" w14:textId="4C8B609F" w:rsidR="007E6366" w:rsidRDefault="007E6366" w:rsidP="007A1B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E93DE66" w14:textId="134D8C1A" w:rsidR="008341B1" w:rsidRPr="009C36CD" w:rsidRDefault="009748A0" w:rsidP="007A1B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4540 applies only to an annuity payment that becomes payable on or after the bill's effective date.</w:t>
            </w:r>
          </w:p>
          <w:p w14:paraId="4771A56A" w14:textId="7AF960E2" w:rsidR="00D03463" w:rsidRPr="00835628" w:rsidRDefault="00D03463" w:rsidP="007A1BEF">
            <w:pPr>
              <w:rPr>
                <w:b/>
              </w:rPr>
            </w:pPr>
          </w:p>
        </w:tc>
      </w:tr>
      <w:tr w:rsidR="00787A21" w14:paraId="054B4270" w14:textId="77777777" w:rsidTr="00790A93">
        <w:tc>
          <w:tcPr>
            <w:tcW w:w="9360" w:type="dxa"/>
          </w:tcPr>
          <w:p w14:paraId="51A66AB4" w14:textId="77777777" w:rsidR="008423E4" w:rsidRPr="00A8133F" w:rsidRDefault="009748A0" w:rsidP="007A1BE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585706" w14:textId="77777777" w:rsidR="008423E4" w:rsidRDefault="008423E4" w:rsidP="007A1BEF"/>
          <w:p w14:paraId="700F8700" w14:textId="7EB018F5" w:rsidR="008423E4" w:rsidRPr="003624F2" w:rsidRDefault="009748A0" w:rsidP="007A1B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EBAF4BA" w14:textId="77777777" w:rsidR="008423E4" w:rsidRPr="00233FDB" w:rsidRDefault="008423E4" w:rsidP="007A1BEF">
            <w:pPr>
              <w:rPr>
                <w:b/>
              </w:rPr>
            </w:pPr>
          </w:p>
        </w:tc>
      </w:tr>
      <w:tr w:rsidR="00787A21" w14:paraId="5661508F" w14:textId="77777777" w:rsidTr="00790A93">
        <w:tc>
          <w:tcPr>
            <w:tcW w:w="9360" w:type="dxa"/>
          </w:tcPr>
          <w:p w14:paraId="4217EBE6" w14:textId="62EEFBC7" w:rsidR="00A84B84" w:rsidRDefault="009748A0" w:rsidP="007A1BE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</w:t>
            </w:r>
            <w:r>
              <w:rPr>
                <w:b/>
                <w:u w:val="single"/>
              </w:rPr>
              <w:t xml:space="preserve"> OF INTRODUCED AND SUBSTITUTE</w:t>
            </w:r>
          </w:p>
          <w:p w14:paraId="334CE440" w14:textId="77777777" w:rsidR="003C4FDC" w:rsidRDefault="003C4FDC" w:rsidP="007A1BEF">
            <w:pPr>
              <w:jc w:val="both"/>
            </w:pPr>
          </w:p>
          <w:p w14:paraId="6EB06B2D" w14:textId="4BECA675" w:rsidR="003C4FDC" w:rsidRPr="003C4FDC" w:rsidRDefault="009748A0" w:rsidP="007A1BEF">
            <w:pPr>
              <w:jc w:val="both"/>
            </w:pPr>
            <w:r>
              <w:t xml:space="preserve">While </w:t>
            </w:r>
            <w:r w:rsidRPr="00790A93">
              <w:rPr>
                <w:bCs/>
              </w:rPr>
              <w:t xml:space="preserve">C.S.H.B. </w:t>
            </w:r>
            <w:r>
              <w:rPr>
                <w:bCs/>
              </w:rPr>
              <w:t>4540</w:t>
            </w:r>
            <w:r w:rsidRPr="00790A93">
              <w:rPr>
                <w:bCs/>
              </w:rPr>
              <w:t xml:space="preserve"> </w:t>
            </w:r>
            <w:r>
              <w:t>may differ from the introduced in minor or nonsubstantive ways, the following summarizes the substantial differences between the introduced and committee substitute versions of the bill.</w:t>
            </w:r>
          </w:p>
          <w:p w14:paraId="229C13ED" w14:textId="25DDC834" w:rsidR="00790A93" w:rsidRDefault="00790A93" w:rsidP="007A1BEF">
            <w:pPr>
              <w:jc w:val="both"/>
              <w:rPr>
                <w:bCs/>
              </w:rPr>
            </w:pPr>
          </w:p>
          <w:p w14:paraId="0335D506" w14:textId="000D5DD2" w:rsidR="00094EDB" w:rsidRDefault="009748A0" w:rsidP="007A1BEF">
            <w:pPr>
              <w:jc w:val="both"/>
              <w:rPr>
                <w:bCs/>
              </w:rPr>
            </w:pPr>
            <w:r>
              <w:rPr>
                <w:bCs/>
              </w:rPr>
              <w:t xml:space="preserve">While both the introduced and the substitute require ERS to recompute certain annuities paid </w:t>
            </w:r>
            <w:r w:rsidR="006218CA">
              <w:rPr>
                <w:bCs/>
              </w:rPr>
              <w:t>to certain retired judges and their beneficiaries</w:t>
            </w:r>
            <w:r>
              <w:t>,</w:t>
            </w:r>
            <w:r w:rsidRPr="003C4FDC">
              <w:rPr>
                <w:bCs/>
              </w:rPr>
              <w:t xml:space="preserve"> </w:t>
            </w:r>
            <w:r>
              <w:rPr>
                <w:bCs/>
              </w:rPr>
              <w:t>the versions differ in the following manner:</w:t>
            </w:r>
          </w:p>
          <w:p w14:paraId="39BABC3A" w14:textId="138A11F7" w:rsidR="00F23E1D" w:rsidRDefault="009748A0" w:rsidP="007A1BE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the substitute applies to annuitants under the Judicial </w:t>
            </w:r>
            <w:r>
              <w:rPr>
                <w:bCs/>
              </w:rPr>
              <w:t>Retirement</w:t>
            </w:r>
            <w:r w:rsidRPr="00167612">
              <w:t xml:space="preserve"> System </w:t>
            </w:r>
            <w:r>
              <w:t>o</w:t>
            </w:r>
            <w:r w:rsidRPr="00167612">
              <w:t>f Texas Plan One</w:t>
            </w:r>
            <w:r>
              <w:t xml:space="preserve"> and the Judicial Retirement System of Texas Plan Two, whereas the introduced only expressly applied to the Judicial Retirement System of Texas Plan Two;</w:t>
            </w:r>
          </w:p>
          <w:p w14:paraId="4AE73698" w14:textId="04FCABD4" w:rsidR="00094EDB" w:rsidRDefault="009748A0" w:rsidP="007A1BE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the substitute </w:t>
            </w:r>
            <w:r w:rsidR="00665A77">
              <w:rPr>
                <w:bCs/>
              </w:rPr>
              <w:t xml:space="preserve">clarifies </w:t>
            </w:r>
            <w:r w:rsidR="006218CA">
              <w:rPr>
                <w:bCs/>
              </w:rPr>
              <w:t xml:space="preserve">the </w:t>
            </w:r>
            <w:r w:rsidR="00665A77">
              <w:rPr>
                <w:bCs/>
              </w:rPr>
              <w:t>annuities to which the bill applies by including references to the applicable statutes that were not referenced in the introduced;</w:t>
            </w:r>
          </w:p>
          <w:p w14:paraId="5C1241E7" w14:textId="76566F6D" w:rsidR="00B74A3A" w:rsidRPr="00B74A3A" w:rsidRDefault="009748A0" w:rsidP="007A1BE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the substitute revises the method for recomputing those annuities</w:t>
            </w:r>
            <w:r w:rsidR="00923F26">
              <w:rPr>
                <w:bCs/>
              </w:rPr>
              <w:t>, if the 88th Legislature enacts legislation increasing the state salary on which certain annuities are based,</w:t>
            </w:r>
            <w:r>
              <w:rPr>
                <w:bCs/>
              </w:rPr>
              <w:t xml:space="preserve"> </w:t>
            </w:r>
            <w:r w:rsidR="00923F26">
              <w:rPr>
                <w:bCs/>
              </w:rPr>
              <w:t xml:space="preserve">by using the salary </w:t>
            </w:r>
            <w:r w:rsidR="00923F26">
              <w:t>prescribed in statutory provisions providing the method for calculating a</w:t>
            </w:r>
            <w:r>
              <w:t>n applicable</w:t>
            </w:r>
            <w:r w:rsidR="00923F26">
              <w:t xml:space="preserve"> judge's or justice</w:t>
            </w:r>
            <w:r w:rsidR="004C7088">
              <w:t>'</w:t>
            </w:r>
            <w:r w:rsidR="00923F26">
              <w:t>s salary that is in effect on the effective date of the salary increase provided by the legislature instead of the introduced version's method of using the salary of a</w:t>
            </w:r>
            <w:r>
              <w:t>n applicable</w:t>
            </w:r>
            <w:r w:rsidR="00923F26">
              <w:t xml:space="preserve"> judge or justice who has eight years and </w:t>
            </w:r>
            <w:r>
              <w:t>one</w:t>
            </w:r>
            <w:r w:rsidR="00923F26">
              <w:t xml:space="preserve"> day of service</w:t>
            </w:r>
            <w:r>
              <w:t xml:space="preserve">; </w:t>
            </w:r>
          </w:p>
          <w:p w14:paraId="1FA4BFA6" w14:textId="50D488B2" w:rsidR="00665A77" w:rsidRDefault="009748A0" w:rsidP="007A1BE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the substitute revises the method for recomputing those annuities, if the 88th legislature do</w:t>
            </w:r>
            <w:r w:rsidR="00BF6B2C">
              <w:rPr>
                <w:bCs/>
              </w:rPr>
              <w:t>e</w:t>
            </w:r>
            <w:r>
              <w:rPr>
                <w:bCs/>
              </w:rPr>
              <w:t>s not enact such legislation, by using</w:t>
            </w:r>
            <w:r>
              <w:rPr>
                <w:bCs/>
              </w:rPr>
              <w:t xml:space="preserve"> the salary prescribed in statutory provisions providing the method for calculating an applicable judge's or justice's </w:t>
            </w:r>
            <w:r w:rsidR="00E20D16">
              <w:rPr>
                <w:bCs/>
              </w:rPr>
              <w:t xml:space="preserve">salary that was in effect on September 1, 2019, instead of the introduced version's method of using the </w:t>
            </w:r>
            <w:r w:rsidR="00BF6B2C">
              <w:rPr>
                <w:bCs/>
              </w:rPr>
              <w:t>salary of an applicable judge or justice who had eight years and one day of service as of September 1, 2019; and</w:t>
            </w:r>
          </w:p>
          <w:p w14:paraId="34C96FD0" w14:textId="5778B24B" w:rsidR="00094EDB" w:rsidRPr="00094EDB" w:rsidRDefault="009748A0" w:rsidP="007A1BE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the substitute includes provisions not in the </w:t>
            </w:r>
            <w:r w:rsidR="004C7088">
              <w:rPr>
                <w:bCs/>
              </w:rPr>
              <w:t xml:space="preserve">introduced </w:t>
            </w:r>
            <w:r>
              <w:rPr>
                <w:bCs/>
              </w:rPr>
              <w:t>establishing that the bill applies only to an annuity payment that becomes payable on or after the bill's effective dat</w:t>
            </w:r>
            <w:r>
              <w:rPr>
                <w:bCs/>
              </w:rPr>
              <w:t xml:space="preserve">e. </w:t>
            </w:r>
          </w:p>
          <w:p w14:paraId="4E2757D4" w14:textId="394D8E59" w:rsidR="00A84B84" w:rsidRPr="00A84B84" w:rsidRDefault="00A84B84" w:rsidP="007A1BEF">
            <w:pPr>
              <w:jc w:val="both"/>
              <w:rPr>
                <w:b/>
                <w:u w:val="single"/>
              </w:rPr>
            </w:pPr>
          </w:p>
        </w:tc>
      </w:tr>
    </w:tbl>
    <w:p w14:paraId="33408560" w14:textId="77777777" w:rsidR="008423E4" w:rsidRPr="00BE0E75" w:rsidRDefault="008423E4" w:rsidP="007A1BEF">
      <w:pPr>
        <w:jc w:val="both"/>
        <w:rPr>
          <w:rFonts w:ascii="Arial" w:hAnsi="Arial"/>
          <w:sz w:val="16"/>
          <w:szCs w:val="16"/>
        </w:rPr>
      </w:pPr>
    </w:p>
    <w:p w14:paraId="4D4980AD" w14:textId="77777777" w:rsidR="004108C3" w:rsidRPr="008423E4" w:rsidRDefault="004108C3" w:rsidP="007A1BE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9CFA" w14:textId="77777777" w:rsidR="00000000" w:rsidRDefault="009748A0">
      <w:r>
        <w:separator/>
      </w:r>
    </w:p>
  </w:endnote>
  <w:endnote w:type="continuationSeparator" w:id="0">
    <w:p w14:paraId="7823E43D" w14:textId="77777777" w:rsidR="00000000" w:rsidRDefault="0097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680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87A21" w14:paraId="1D2CF043" w14:textId="77777777" w:rsidTr="009C1E9A">
      <w:trPr>
        <w:cantSplit/>
      </w:trPr>
      <w:tc>
        <w:tcPr>
          <w:tcW w:w="0" w:type="pct"/>
        </w:tcPr>
        <w:p w14:paraId="1FEC55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945B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8DFC3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1110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1A4DF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87A21" w14:paraId="3DFD3765" w14:textId="77777777" w:rsidTr="009C1E9A">
      <w:trPr>
        <w:cantSplit/>
      </w:trPr>
      <w:tc>
        <w:tcPr>
          <w:tcW w:w="0" w:type="pct"/>
        </w:tcPr>
        <w:p w14:paraId="6009FF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8A5ED9" w14:textId="1F8BBC5F" w:rsidR="00EC379B" w:rsidRPr="009C1E9A" w:rsidRDefault="009748A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23879-D</w:t>
          </w:r>
        </w:p>
      </w:tc>
      <w:tc>
        <w:tcPr>
          <w:tcW w:w="2453" w:type="pct"/>
        </w:tcPr>
        <w:p w14:paraId="2965B5D3" w14:textId="65711627" w:rsidR="00EC379B" w:rsidRDefault="009748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A1BEF">
            <w:t>23.106.602</w:t>
          </w:r>
          <w:r>
            <w:fldChar w:fldCharType="end"/>
          </w:r>
        </w:p>
      </w:tc>
    </w:tr>
    <w:tr w:rsidR="00787A21" w14:paraId="5D776545" w14:textId="77777777" w:rsidTr="009C1E9A">
      <w:trPr>
        <w:cantSplit/>
      </w:trPr>
      <w:tc>
        <w:tcPr>
          <w:tcW w:w="0" w:type="pct"/>
        </w:tcPr>
        <w:p w14:paraId="3642EC1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6721DE" w14:textId="544F9F39" w:rsidR="00EC379B" w:rsidRPr="009C1E9A" w:rsidRDefault="009748A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19303</w:t>
          </w:r>
        </w:p>
      </w:tc>
      <w:tc>
        <w:tcPr>
          <w:tcW w:w="2453" w:type="pct"/>
        </w:tcPr>
        <w:p w14:paraId="4F8B056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35A62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87A21" w14:paraId="27731A5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75013A" w14:textId="77777777" w:rsidR="00EC379B" w:rsidRDefault="009748A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BCDC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C5D9E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A75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81F3" w14:textId="77777777" w:rsidR="00000000" w:rsidRDefault="009748A0">
      <w:r>
        <w:separator/>
      </w:r>
    </w:p>
  </w:footnote>
  <w:footnote w:type="continuationSeparator" w:id="0">
    <w:p w14:paraId="5525795B" w14:textId="77777777" w:rsidR="00000000" w:rsidRDefault="0097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C01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929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B7A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C5FF8"/>
    <w:multiLevelType w:val="hybridMultilevel"/>
    <w:tmpl w:val="F9E456F4"/>
    <w:lvl w:ilvl="0" w:tplc="2D043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07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84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AF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C6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8E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A7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87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81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3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D9F"/>
    <w:rsid w:val="000276FD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6EF"/>
    <w:rsid w:val="000463F0"/>
    <w:rsid w:val="00046BDA"/>
    <w:rsid w:val="0004762E"/>
    <w:rsid w:val="000532BD"/>
    <w:rsid w:val="000555E0"/>
    <w:rsid w:val="00055C12"/>
    <w:rsid w:val="000608B0"/>
    <w:rsid w:val="0006104C"/>
    <w:rsid w:val="000623CE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EDB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DA7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61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F39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2D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632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FDC"/>
    <w:rsid w:val="003C664C"/>
    <w:rsid w:val="003D001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088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734"/>
    <w:rsid w:val="00505121"/>
    <w:rsid w:val="00505C04"/>
    <w:rsid w:val="00505F1B"/>
    <w:rsid w:val="005073E8"/>
    <w:rsid w:val="00510503"/>
    <w:rsid w:val="00512E6B"/>
    <w:rsid w:val="0051324D"/>
    <w:rsid w:val="00515466"/>
    <w:rsid w:val="005154F7"/>
    <w:rsid w:val="005159DE"/>
    <w:rsid w:val="005269CE"/>
    <w:rsid w:val="005304B2"/>
    <w:rsid w:val="005336BD"/>
    <w:rsid w:val="00534A49"/>
    <w:rsid w:val="00535F5F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6F7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8CA"/>
    <w:rsid w:val="006249CB"/>
    <w:rsid w:val="006272DD"/>
    <w:rsid w:val="00630963"/>
    <w:rsid w:val="006309F4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A77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0E5"/>
    <w:rsid w:val="006D0395"/>
    <w:rsid w:val="006D3005"/>
    <w:rsid w:val="006D504F"/>
    <w:rsid w:val="006D5B7B"/>
    <w:rsid w:val="006E0CAC"/>
    <w:rsid w:val="006E1CFB"/>
    <w:rsid w:val="006E1F94"/>
    <w:rsid w:val="006E26C1"/>
    <w:rsid w:val="006E30A8"/>
    <w:rsid w:val="006E45B0"/>
    <w:rsid w:val="006E5692"/>
    <w:rsid w:val="006E6B6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0F5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BE6"/>
    <w:rsid w:val="00777518"/>
    <w:rsid w:val="0077779E"/>
    <w:rsid w:val="00780FB6"/>
    <w:rsid w:val="0078552A"/>
    <w:rsid w:val="00785729"/>
    <w:rsid w:val="00786058"/>
    <w:rsid w:val="00787A21"/>
    <w:rsid w:val="00790A93"/>
    <w:rsid w:val="0079487D"/>
    <w:rsid w:val="007966D4"/>
    <w:rsid w:val="00796A0A"/>
    <w:rsid w:val="0079792C"/>
    <w:rsid w:val="007A0989"/>
    <w:rsid w:val="007A1BEF"/>
    <w:rsid w:val="007A331F"/>
    <w:rsid w:val="007A3844"/>
    <w:rsid w:val="007A4381"/>
    <w:rsid w:val="007A5466"/>
    <w:rsid w:val="007A7EC1"/>
    <w:rsid w:val="007B4FCA"/>
    <w:rsid w:val="007B69C1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366"/>
    <w:rsid w:val="007F3861"/>
    <w:rsid w:val="007F4162"/>
    <w:rsid w:val="007F5441"/>
    <w:rsid w:val="007F7668"/>
    <w:rsid w:val="00800C63"/>
    <w:rsid w:val="00802243"/>
    <w:rsid w:val="008023D4"/>
    <w:rsid w:val="00802681"/>
    <w:rsid w:val="00804124"/>
    <w:rsid w:val="00805402"/>
    <w:rsid w:val="0080765F"/>
    <w:rsid w:val="00812BE3"/>
    <w:rsid w:val="00814516"/>
    <w:rsid w:val="00815C9D"/>
    <w:rsid w:val="008170E2"/>
    <w:rsid w:val="00823E4C"/>
    <w:rsid w:val="008248B0"/>
    <w:rsid w:val="00827749"/>
    <w:rsid w:val="00827B7E"/>
    <w:rsid w:val="00830EEB"/>
    <w:rsid w:val="008341B1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067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5FC"/>
    <w:rsid w:val="00904721"/>
    <w:rsid w:val="00907780"/>
    <w:rsid w:val="00907EDD"/>
    <w:rsid w:val="009107AD"/>
    <w:rsid w:val="00915568"/>
    <w:rsid w:val="00917E0C"/>
    <w:rsid w:val="00920711"/>
    <w:rsid w:val="00921A1E"/>
    <w:rsid w:val="00923F26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4A97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8A0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D3C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5E21"/>
    <w:rsid w:val="009D7455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60E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B84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37D"/>
    <w:rsid w:val="00B04E79"/>
    <w:rsid w:val="00B07488"/>
    <w:rsid w:val="00B075A2"/>
    <w:rsid w:val="00B10DD2"/>
    <w:rsid w:val="00B115DC"/>
    <w:rsid w:val="00B11952"/>
    <w:rsid w:val="00B12D05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6B26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A3A"/>
    <w:rsid w:val="00B80532"/>
    <w:rsid w:val="00B82039"/>
    <w:rsid w:val="00B82454"/>
    <w:rsid w:val="00B90097"/>
    <w:rsid w:val="00B90999"/>
    <w:rsid w:val="00B91AD7"/>
    <w:rsid w:val="00B92D23"/>
    <w:rsid w:val="00B95BC8"/>
    <w:rsid w:val="00B95CF0"/>
    <w:rsid w:val="00B96E87"/>
    <w:rsid w:val="00BA146A"/>
    <w:rsid w:val="00BA32EE"/>
    <w:rsid w:val="00BB0B78"/>
    <w:rsid w:val="00BB4401"/>
    <w:rsid w:val="00BB5B36"/>
    <w:rsid w:val="00BC027B"/>
    <w:rsid w:val="00BC30A6"/>
    <w:rsid w:val="00BC3ED3"/>
    <w:rsid w:val="00BC3EF6"/>
    <w:rsid w:val="00BC40A4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B2C"/>
    <w:rsid w:val="00C013F4"/>
    <w:rsid w:val="00C040AB"/>
    <w:rsid w:val="00C0499B"/>
    <w:rsid w:val="00C05406"/>
    <w:rsid w:val="00C05CF0"/>
    <w:rsid w:val="00C06703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A5F"/>
    <w:rsid w:val="00C2766F"/>
    <w:rsid w:val="00C3223B"/>
    <w:rsid w:val="00C333C6"/>
    <w:rsid w:val="00C35CC5"/>
    <w:rsid w:val="00C361C5"/>
    <w:rsid w:val="00C377D1"/>
    <w:rsid w:val="00C37BDA"/>
    <w:rsid w:val="00C37C84"/>
    <w:rsid w:val="00C37E1C"/>
    <w:rsid w:val="00C42B41"/>
    <w:rsid w:val="00C45F2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463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77C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506"/>
    <w:rsid w:val="00D926B3"/>
    <w:rsid w:val="00D92F63"/>
    <w:rsid w:val="00D947B6"/>
    <w:rsid w:val="00D94A53"/>
    <w:rsid w:val="00D97E00"/>
    <w:rsid w:val="00DA00BC"/>
    <w:rsid w:val="00DA0E22"/>
    <w:rsid w:val="00DA1B5F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735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D16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5E3"/>
    <w:rsid w:val="00E60E4C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E1D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13B5EE-A11F-4F45-B254-B1D307DF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C0D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0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0D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0D3C"/>
    <w:rPr>
      <w:b/>
      <w:bCs/>
    </w:rPr>
  </w:style>
  <w:style w:type="paragraph" w:styleId="Revision">
    <w:name w:val="Revision"/>
    <w:hidden/>
    <w:uiPriority w:val="99"/>
    <w:semiHidden/>
    <w:rsid w:val="006D5B7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4EDB"/>
    <w:pPr>
      <w:ind w:left="720"/>
      <w:contextualSpacing/>
    </w:pPr>
  </w:style>
  <w:style w:type="character" w:styleId="Hyperlink">
    <w:name w:val="Hyperlink"/>
    <w:basedOn w:val="DefaultParagraphFont"/>
    <w:unhideWhenUsed/>
    <w:rsid w:val="00297F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4596</Characters>
  <Application>Microsoft Office Word</Application>
  <DocSecurity>4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HB04540 (Committee Report (Substituted))</vt:lpstr>
    </vt:vector>
  </TitlesOfParts>
  <Company>State of Texas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23879</dc:subject>
  <dc:creator>State of Texas</dc:creator>
  <dc:description>HB 4540 by Longoria-(H)Pensions, Investments &amp; Financial Services (Substitute Document Number: 88R 19303)</dc:description>
  <cp:lastModifiedBy>Matthew Lee</cp:lastModifiedBy>
  <cp:revision>2</cp:revision>
  <cp:lastPrinted>2003-11-26T17:21:00Z</cp:lastPrinted>
  <dcterms:created xsi:type="dcterms:W3CDTF">2023-04-21T17:30:00Z</dcterms:created>
  <dcterms:modified xsi:type="dcterms:W3CDTF">2023-04-21T17:30:00Z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23.106.602</vt:lpwstr>
  </property>
</Properties>
</file>