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63728" w14:paraId="04B75383" w14:textId="77777777" w:rsidTr="00345119">
        <w:tc>
          <w:tcPr>
            <w:tcW w:w="9576" w:type="dxa"/>
            <w:noWrap/>
          </w:tcPr>
          <w:p w14:paraId="5456102C" w14:textId="77777777" w:rsidR="008423E4" w:rsidRPr="0022177D" w:rsidRDefault="00473896" w:rsidP="00B605E7">
            <w:pPr>
              <w:pStyle w:val="Heading1"/>
            </w:pPr>
            <w:r w:rsidRPr="00631897">
              <w:t>BILL ANALYSIS</w:t>
            </w:r>
          </w:p>
        </w:tc>
      </w:tr>
    </w:tbl>
    <w:p w14:paraId="080B6ECF" w14:textId="77777777" w:rsidR="008423E4" w:rsidRPr="0022177D" w:rsidRDefault="008423E4" w:rsidP="00B605E7">
      <w:pPr>
        <w:jc w:val="center"/>
      </w:pPr>
    </w:p>
    <w:p w14:paraId="39A6A0BD" w14:textId="77777777" w:rsidR="008423E4" w:rsidRPr="00B31F0E" w:rsidRDefault="008423E4" w:rsidP="00B605E7"/>
    <w:p w14:paraId="48714C93" w14:textId="77777777" w:rsidR="008423E4" w:rsidRPr="00742794" w:rsidRDefault="008423E4" w:rsidP="00B605E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63728" w14:paraId="5E0A8743" w14:textId="77777777" w:rsidTr="00345119">
        <w:tc>
          <w:tcPr>
            <w:tcW w:w="9576" w:type="dxa"/>
          </w:tcPr>
          <w:p w14:paraId="3D937C0B" w14:textId="7F351658" w:rsidR="008423E4" w:rsidRPr="00861995" w:rsidRDefault="00473896" w:rsidP="00B605E7">
            <w:pPr>
              <w:jc w:val="right"/>
            </w:pPr>
            <w:r>
              <w:t>C.S.H.B. 4553</w:t>
            </w:r>
          </w:p>
        </w:tc>
      </w:tr>
      <w:tr w:rsidR="00463728" w14:paraId="313C1A91" w14:textId="77777777" w:rsidTr="00345119">
        <w:tc>
          <w:tcPr>
            <w:tcW w:w="9576" w:type="dxa"/>
          </w:tcPr>
          <w:p w14:paraId="54F40A4D" w14:textId="1719F87E" w:rsidR="008423E4" w:rsidRPr="00861995" w:rsidRDefault="00473896" w:rsidP="00B605E7">
            <w:pPr>
              <w:jc w:val="right"/>
            </w:pPr>
            <w:r>
              <w:t xml:space="preserve">By: </w:t>
            </w:r>
            <w:r w:rsidR="00B87AFB">
              <w:t>Longoria</w:t>
            </w:r>
          </w:p>
        </w:tc>
      </w:tr>
      <w:tr w:rsidR="00463728" w14:paraId="06A040E7" w14:textId="77777777" w:rsidTr="00345119">
        <w:tc>
          <w:tcPr>
            <w:tcW w:w="9576" w:type="dxa"/>
          </w:tcPr>
          <w:p w14:paraId="69D40A69" w14:textId="19B33D5E" w:rsidR="008423E4" w:rsidRPr="00861995" w:rsidRDefault="00473896" w:rsidP="00B605E7">
            <w:pPr>
              <w:jc w:val="right"/>
            </w:pPr>
            <w:r>
              <w:t>State Affairs</w:t>
            </w:r>
          </w:p>
        </w:tc>
      </w:tr>
      <w:tr w:rsidR="00463728" w14:paraId="46B4C6B9" w14:textId="77777777" w:rsidTr="00345119">
        <w:tc>
          <w:tcPr>
            <w:tcW w:w="9576" w:type="dxa"/>
          </w:tcPr>
          <w:p w14:paraId="4CE6A0D4" w14:textId="1693EADB" w:rsidR="008423E4" w:rsidRDefault="00473896" w:rsidP="00B605E7">
            <w:pPr>
              <w:jc w:val="right"/>
            </w:pPr>
            <w:r>
              <w:t>Committee Report (Substituted)</w:t>
            </w:r>
          </w:p>
        </w:tc>
      </w:tr>
    </w:tbl>
    <w:p w14:paraId="20387BA7" w14:textId="77777777" w:rsidR="008423E4" w:rsidRDefault="008423E4" w:rsidP="00B605E7">
      <w:pPr>
        <w:tabs>
          <w:tab w:val="right" w:pos="9360"/>
        </w:tabs>
      </w:pPr>
    </w:p>
    <w:p w14:paraId="31EC8458" w14:textId="77777777" w:rsidR="008423E4" w:rsidRDefault="008423E4" w:rsidP="00B605E7"/>
    <w:p w14:paraId="599DF32B" w14:textId="77777777" w:rsidR="008423E4" w:rsidRDefault="008423E4" w:rsidP="00B605E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63728" w14:paraId="43FCD4ED" w14:textId="77777777" w:rsidTr="00345119">
        <w:tc>
          <w:tcPr>
            <w:tcW w:w="9576" w:type="dxa"/>
          </w:tcPr>
          <w:p w14:paraId="1B86923D" w14:textId="77777777" w:rsidR="008423E4" w:rsidRPr="00A8133F" w:rsidRDefault="00473896" w:rsidP="00B605E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4A4EAEE" w14:textId="77777777" w:rsidR="008423E4" w:rsidRDefault="008423E4" w:rsidP="00B605E7"/>
          <w:p w14:paraId="15D56BDA" w14:textId="7FE44DD5" w:rsidR="008423E4" w:rsidRDefault="00473896" w:rsidP="00B605E7">
            <w:pPr>
              <w:pStyle w:val="Header"/>
              <w:jc w:val="both"/>
              <w:rPr>
                <w:lang w:bidi="en-US"/>
              </w:rPr>
            </w:pPr>
            <w:r w:rsidRPr="00734119">
              <w:rPr>
                <w:lang w:bidi="en-US"/>
              </w:rPr>
              <w:t xml:space="preserve">The mission of the Department of Information Resources (DIR) is to serve </w:t>
            </w:r>
            <w:r>
              <w:rPr>
                <w:lang w:bidi="en-US"/>
              </w:rPr>
              <w:t>state</w:t>
            </w:r>
            <w:r w:rsidRPr="00734119">
              <w:rPr>
                <w:lang w:bidi="en-US"/>
              </w:rPr>
              <w:t xml:space="preserve"> government by leading the </w:t>
            </w:r>
            <w:r w:rsidR="007E4414" w:rsidRPr="00734119">
              <w:rPr>
                <w:lang w:bidi="en-US"/>
              </w:rPr>
              <w:t>state</w:t>
            </w:r>
            <w:r w:rsidR="007E4414">
              <w:rPr>
                <w:lang w:bidi="en-US"/>
              </w:rPr>
              <w:t>'</w:t>
            </w:r>
            <w:r w:rsidR="007E4414" w:rsidRPr="00734119">
              <w:rPr>
                <w:lang w:bidi="en-US"/>
              </w:rPr>
              <w:t xml:space="preserve">s </w:t>
            </w:r>
            <w:r w:rsidRPr="00734119">
              <w:rPr>
                <w:lang w:bidi="en-US"/>
              </w:rPr>
              <w:t>technology strategy, protecting state technology infrastructure, and offering innovative and cost-effective solutions for all levels of governm</w:t>
            </w:r>
            <w:r w:rsidRPr="00734119">
              <w:rPr>
                <w:lang w:bidi="en-US"/>
              </w:rPr>
              <w:t>ent. State law requires DIR to provide telecommunications services, negotiate contracts for information technology commodity items, and establish statewide technology centers that offer several technology services</w:t>
            </w:r>
            <w:r>
              <w:rPr>
                <w:lang w:bidi="en-US"/>
              </w:rPr>
              <w:t>.</w:t>
            </w:r>
            <w:r w:rsidRPr="00734119">
              <w:rPr>
                <w:lang w:bidi="en-US"/>
              </w:rPr>
              <w:t xml:space="preserve"> DIR is also required to provide</w:t>
            </w:r>
            <w:r>
              <w:rPr>
                <w:lang w:bidi="en-US"/>
              </w:rPr>
              <w:t xml:space="preserve"> network</w:t>
            </w:r>
            <w:r w:rsidRPr="00734119">
              <w:rPr>
                <w:lang w:bidi="en-US"/>
              </w:rPr>
              <w:t xml:space="preserve"> s</w:t>
            </w:r>
            <w:r w:rsidRPr="00734119">
              <w:rPr>
                <w:lang w:bidi="en-US"/>
              </w:rPr>
              <w:t xml:space="preserve">ecurity services. State law </w:t>
            </w:r>
            <w:r>
              <w:rPr>
                <w:lang w:bidi="en-US"/>
              </w:rPr>
              <w:t>establishes which</w:t>
            </w:r>
            <w:r w:rsidRPr="00734119">
              <w:rPr>
                <w:lang w:bidi="en-US"/>
              </w:rPr>
              <w:t xml:space="preserve"> entities are eligible customers for each of these programs</w:t>
            </w:r>
            <w:r>
              <w:rPr>
                <w:lang w:bidi="en-US"/>
              </w:rPr>
              <w:t xml:space="preserve"> or services and the lists are not uniform</w:t>
            </w:r>
            <w:r w:rsidRPr="00734119">
              <w:rPr>
                <w:lang w:bidi="en-US"/>
              </w:rPr>
              <w:t xml:space="preserve">. The </w:t>
            </w:r>
            <w:r w:rsidRPr="00BA0FB0">
              <w:rPr>
                <w:shd w:val="clear" w:color="auto" w:fill="FFFFFF" w:themeFill="background1"/>
                <w:lang w:bidi="en-US"/>
              </w:rPr>
              <w:t>varying</w:t>
            </w:r>
            <w:r w:rsidR="00D1566C">
              <w:rPr>
                <w:snapToGrid w:val="0"/>
                <w:color w:val="000000"/>
                <w:w w:val="0"/>
                <w:u w:color="000000"/>
                <w:bdr w:val="nil"/>
                <w:shd w:val="clear" w:color="auto" w:fill="FFFFFF" w:themeFill="background1"/>
                <w:lang w:eastAsia="x-none" w:bidi="x-none"/>
              </w:rPr>
              <w:t xml:space="preserve"> </w:t>
            </w:r>
            <w:r w:rsidR="00824484">
              <w:rPr>
                <w:lang w:bidi="en-US"/>
              </w:rPr>
              <w:t xml:space="preserve">eligibility across </w:t>
            </w:r>
            <w:r w:rsidRPr="00734119">
              <w:rPr>
                <w:lang w:bidi="en-US"/>
              </w:rPr>
              <w:t xml:space="preserve">programs causes confusion for </w:t>
            </w:r>
            <w:r w:rsidR="007E4414" w:rsidRPr="00734119">
              <w:rPr>
                <w:lang w:bidi="en-US"/>
              </w:rPr>
              <w:t>DIR</w:t>
            </w:r>
            <w:r w:rsidR="007E4414">
              <w:rPr>
                <w:lang w:bidi="en-US"/>
              </w:rPr>
              <w:t>'</w:t>
            </w:r>
            <w:r w:rsidR="007E4414" w:rsidRPr="00734119">
              <w:rPr>
                <w:lang w:bidi="en-US"/>
              </w:rPr>
              <w:t xml:space="preserve">s </w:t>
            </w:r>
            <w:r w:rsidRPr="00734119">
              <w:rPr>
                <w:lang w:bidi="en-US"/>
              </w:rPr>
              <w:t xml:space="preserve">staff, vendors, and the public </w:t>
            </w:r>
            <w:r w:rsidRPr="00734119">
              <w:rPr>
                <w:lang w:bidi="en-US"/>
              </w:rPr>
              <w:t>entities who use these programs.</w:t>
            </w:r>
            <w:r>
              <w:rPr>
                <w:lang w:bidi="en-US"/>
              </w:rPr>
              <w:t xml:space="preserve"> </w:t>
            </w:r>
            <w:r w:rsidR="00824484">
              <w:rPr>
                <w:lang w:bidi="en-US"/>
              </w:rPr>
              <w:t>C.S.H.B.</w:t>
            </w:r>
            <w:r w:rsidR="00D1566C">
              <w:rPr>
                <w:lang w:bidi="en-US"/>
              </w:rPr>
              <w:t> </w:t>
            </w:r>
            <w:r w:rsidR="00824484">
              <w:rPr>
                <w:lang w:bidi="en-US"/>
              </w:rPr>
              <w:t>4553 seeks to address this issue by expanding and aligning the lists of eligible customers for DIR services.</w:t>
            </w:r>
          </w:p>
          <w:p w14:paraId="3797574C" w14:textId="77777777" w:rsidR="008423E4" w:rsidRPr="00E26B13" w:rsidRDefault="008423E4" w:rsidP="00B605E7">
            <w:pPr>
              <w:rPr>
                <w:b/>
              </w:rPr>
            </w:pPr>
          </w:p>
        </w:tc>
      </w:tr>
      <w:tr w:rsidR="00463728" w14:paraId="03C882DF" w14:textId="77777777" w:rsidTr="00345119">
        <w:tc>
          <w:tcPr>
            <w:tcW w:w="9576" w:type="dxa"/>
          </w:tcPr>
          <w:p w14:paraId="55816B87" w14:textId="77777777" w:rsidR="0017725B" w:rsidRDefault="00473896" w:rsidP="00B605E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106F54E" w14:textId="77777777" w:rsidR="0017725B" w:rsidRDefault="0017725B" w:rsidP="00B605E7">
            <w:pPr>
              <w:rPr>
                <w:b/>
                <w:u w:val="single"/>
              </w:rPr>
            </w:pPr>
          </w:p>
          <w:p w14:paraId="3694E303" w14:textId="08D5BB8A" w:rsidR="005367EC" w:rsidRPr="005367EC" w:rsidRDefault="00473896" w:rsidP="00B605E7">
            <w:pPr>
              <w:jc w:val="both"/>
            </w:pPr>
            <w:r>
              <w:t>It is the committee's opinion that this bill does not expressly create a crimi</w:t>
            </w:r>
            <w:r>
              <w:t>nal offense, increase the punishment for an existing criminal offense or category of offenses, or change the eligibility of a person for community supervision, parole, or mandatory supervision.</w:t>
            </w:r>
          </w:p>
          <w:p w14:paraId="352FBF3E" w14:textId="77777777" w:rsidR="0017725B" w:rsidRPr="0017725B" w:rsidRDefault="0017725B" w:rsidP="00B605E7">
            <w:pPr>
              <w:rPr>
                <w:b/>
                <w:u w:val="single"/>
              </w:rPr>
            </w:pPr>
          </w:p>
        </w:tc>
      </w:tr>
      <w:tr w:rsidR="00463728" w14:paraId="47A7E3B7" w14:textId="77777777" w:rsidTr="00345119">
        <w:tc>
          <w:tcPr>
            <w:tcW w:w="9576" w:type="dxa"/>
          </w:tcPr>
          <w:p w14:paraId="3E515438" w14:textId="77777777" w:rsidR="008423E4" w:rsidRPr="00A8133F" w:rsidRDefault="00473896" w:rsidP="00B605E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118AC74" w14:textId="77777777" w:rsidR="008423E4" w:rsidRDefault="008423E4" w:rsidP="00B605E7"/>
          <w:p w14:paraId="3F68B46E" w14:textId="2EDEAC64" w:rsidR="005367EC" w:rsidRDefault="00473896" w:rsidP="00B605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</w:t>
            </w:r>
            <w:r>
              <w:t>is bill does not expressly grant any additional rulemaking authority to a state officer, department, agency, or institution.</w:t>
            </w:r>
          </w:p>
          <w:p w14:paraId="29EEC27C" w14:textId="77777777" w:rsidR="008423E4" w:rsidRPr="00E21FDC" w:rsidRDefault="008423E4" w:rsidP="00B605E7">
            <w:pPr>
              <w:rPr>
                <w:b/>
              </w:rPr>
            </w:pPr>
          </w:p>
        </w:tc>
      </w:tr>
      <w:tr w:rsidR="00463728" w14:paraId="6C8F3A9C" w14:textId="77777777" w:rsidTr="00345119">
        <w:tc>
          <w:tcPr>
            <w:tcW w:w="9576" w:type="dxa"/>
          </w:tcPr>
          <w:p w14:paraId="0ED7C710" w14:textId="77777777" w:rsidR="008423E4" w:rsidRPr="00A8133F" w:rsidRDefault="00473896" w:rsidP="00B605E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6FC73A7" w14:textId="77777777" w:rsidR="008423E4" w:rsidRDefault="008423E4" w:rsidP="00B605E7"/>
          <w:p w14:paraId="1DED820C" w14:textId="3C858466" w:rsidR="009C36CD" w:rsidRDefault="00473896" w:rsidP="00B605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 w:rsidR="003565F2">
              <w:t xml:space="preserve"> 4553 amends the Government Code to establish a comprehensive list of entities that are eligible customers for services the Department of Information Resources (DIR) provides, contingent on the executive director of DIR determining that a particular </w:t>
            </w:r>
            <w:r w:rsidR="007855C5">
              <w:t>entity's</w:t>
            </w:r>
            <w:r w:rsidR="003565F2">
              <w:t xml:space="preserve"> participation in </w:t>
            </w:r>
            <w:r w:rsidR="007855C5">
              <w:t>the</w:t>
            </w:r>
            <w:r w:rsidR="003565F2">
              <w:t xml:space="preserve"> </w:t>
            </w:r>
            <w:r w:rsidR="007855C5">
              <w:t>service</w:t>
            </w:r>
            <w:r w:rsidR="003565F2">
              <w:t xml:space="preserve"> is in the </w:t>
            </w:r>
            <w:r w:rsidR="00084199">
              <w:t xml:space="preserve">state's </w:t>
            </w:r>
            <w:r w:rsidR="003565F2">
              <w:t>best interest:</w:t>
            </w:r>
          </w:p>
          <w:p w14:paraId="414FB868" w14:textId="77777777" w:rsidR="003565F2" w:rsidRDefault="00473896" w:rsidP="00B605E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state agency;</w:t>
            </w:r>
          </w:p>
          <w:p w14:paraId="16CA174A" w14:textId="2F6F9FE2" w:rsidR="003565F2" w:rsidRDefault="00473896" w:rsidP="00B605E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local government;</w:t>
            </w:r>
          </w:p>
          <w:p w14:paraId="3F4D3EF6" w14:textId="7BCC729B" w:rsidR="003565F2" w:rsidRDefault="00473896" w:rsidP="00B605E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legislature or a legislative agency;</w:t>
            </w:r>
          </w:p>
          <w:p w14:paraId="56D72D29" w14:textId="66062EA3" w:rsidR="003565F2" w:rsidRDefault="00473896" w:rsidP="00B605E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Texas Supreme Court, the Texas Court of Criminal Appeals, or a court of appeals;</w:t>
            </w:r>
          </w:p>
          <w:p w14:paraId="645B5186" w14:textId="4698EF98" w:rsidR="003565F2" w:rsidRDefault="00473896" w:rsidP="00B605E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public hospital owned or op</w:t>
            </w:r>
            <w:r>
              <w:t>erated by the state or a political subdivision or municipal corporation of the state, including a hospital district or hospital authority;</w:t>
            </w:r>
          </w:p>
          <w:p w14:paraId="0035601F" w14:textId="4E11070F" w:rsidR="003565F2" w:rsidRDefault="00473896" w:rsidP="00B605E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ERCOT;</w:t>
            </w:r>
          </w:p>
          <w:p w14:paraId="3334F485" w14:textId="011CCED2" w:rsidR="003565F2" w:rsidRDefault="00473896" w:rsidP="00B605E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Texas Permanent School Fund Corporation;</w:t>
            </w:r>
          </w:p>
          <w:p w14:paraId="293B508C" w14:textId="0CD4FEB7" w:rsidR="003565F2" w:rsidRDefault="00473896" w:rsidP="00B605E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an assistance organization, as that term is defined for p</w:t>
            </w:r>
            <w:r w:rsidR="008A2B94">
              <w:t xml:space="preserve">urposes of </w:t>
            </w:r>
            <w:r w:rsidR="0042395B">
              <w:t>state law</w:t>
            </w:r>
            <w:r w:rsidR="008A2B94">
              <w:t xml:space="preserve"> governing surplus and salvage</w:t>
            </w:r>
            <w:r w:rsidR="0042395B">
              <w:t xml:space="preserve"> state</w:t>
            </w:r>
            <w:r w:rsidR="008A2B94">
              <w:t xml:space="preserve"> property</w:t>
            </w:r>
            <w:r>
              <w:t>;</w:t>
            </w:r>
          </w:p>
          <w:p w14:paraId="130F0554" w14:textId="67B3BC39" w:rsidR="003565F2" w:rsidRDefault="00473896" w:rsidP="00B605E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an open-enrollment charter school</w:t>
            </w:r>
            <w:r w:rsidR="008A2B94">
              <w:t xml:space="preserve"> or</w:t>
            </w:r>
            <w:r>
              <w:t xml:space="preserve"> private school;</w:t>
            </w:r>
          </w:p>
          <w:p w14:paraId="7F5D954B" w14:textId="5A722196" w:rsidR="003565F2" w:rsidRDefault="00473896" w:rsidP="00B605E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private or independent institution of higher education;</w:t>
            </w:r>
          </w:p>
          <w:p w14:paraId="4BC072C4" w14:textId="4A622902" w:rsidR="003565F2" w:rsidRDefault="00473896" w:rsidP="00B605E7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 public safety entity, as defined by </w:t>
            </w:r>
            <w:r w:rsidR="008A2B94">
              <w:t>applicable federal law</w:t>
            </w:r>
            <w:r>
              <w:t>;</w:t>
            </w:r>
          </w:p>
          <w:p w14:paraId="5B803EC2" w14:textId="677F6902" w:rsidR="003565F2" w:rsidRDefault="00473896" w:rsidP="00B605E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volunteer fire</w:t>
            </w:r>
            <w:r>
              <w:t xml:space="preserve"> department; and</w:t>
            </w:r>
          </w:p>
          <w:p w14:paraId="4761CF46" w14:textId="021BEECC" w:rsidR="003565F2" w:rsidRDefault="00473896" w:rsidP="00B605E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governmental entity of another state.</w:t>
            </w:r>
          </w:p>
          <w:p w14:paraId="04A4C3D5" w14:textId="5C1CA8E8" w:rsidR="00ED41DA" w:rsidRDefault="00ED41DA" w:rsidP="00B605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91CCDF5" w14:textId="34B940FE" w:rsidR="00C71CD1" w:rsidRDefault="00473896" w:rsidP="00B605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 w:rsidR="007855C5">
              <w:t xml:space="preserve"> 4553 revises provisions governing DIR's statewide technology centers </w:t>
            </w:r>
            <w:r w:rsidR="008E34CE">
              <w:t xml:space="preserve">to </w:t>
            </w:r>
            <w:r>
              <w:t>do the following:</w:t>
            </w:r>
          </w:p>
          <w:p w14:paraId="4F42C49E" w14:textId="21614B4A" w:rsidR="00C71CD1" w:rsidRDefault="00473896" w:rsidP="00B605E7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change the information resources technologies to which the provisions apply from all such </w:t>
            </w:r>
            <w:r>
              <w:t>technologies, other than telecommunications service, advanced communications services, or information service that are obtained by a state agency using state money or used by a state agency or a participating local governmental entity</w:t>
            </w:r>
            <w:r w:rsidR="008A36D8">
              <w:t>,</w:t>
            </w:r>
            <w:r>
              <w:t xml:space="preserve"> to all such technolo</w:t>
            </w:r>
            <w:r>
              <w:t>gies, other than telecommunications services governed by the provisions of state law relating to state purchasing of telecommunications service, that are obtained by a state agency using state money or used by a participating eligible entity</w:t>
            </w:r>
            <w:r w:rsidR="008E34CE">
              <w:t xml:space="preserve"> included in the list above</w:t>
            </w:r>
            <w:r>
              <w:t>; and</w:t>
            </w:r>
            <w:r w:rsidR="008E34CE">
              <w:t xml:space="preserve"> </w:t>
            </w:r>
          </w:p>
          <w:p w14:paraId="2CD7E578" w14:textId="0AFCA477" w:rsidR="007855C5" w:rsidRDefault="00473896" w:rsidP="00B605E7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>
              <w:t>remov</w:t>
            </w:r>
            <w:r w:rsidR="00534FFF">
              <w:t>e</w:t>
            </w:r>
            <w:r>
              <w:t xml:space="preserve"> </w:t>
            </w:r>
            <w:r w:rsidRPr="008E34CE">
              <w:t>the</w:t>
            </w:r>
            <w:r w:rsidR="00534FFF">
              <w:t xml:space="preserve"> exemption from those provisions for the</w:t>
            </w:r>
            <w:r w:rsidRPr="008E34CE">
              <w:t xml:space="preserve"> Department of Public Safety's </w:t>
            </w:r>
            <w:r>
              <w:t xml:space="preserve">(DPS) </w:t>
            </w:r>
            <w:r w:rsidRPr="008E34CE">
              <w:t>use for criminal justice or homeland security purposes of a federal database or network</w:t>
            </w:r>
            <w:r>
              <w:t xml:space="preserve"> and </w:t>
            </w:r>
            <w:r w:rsidRPr="008E34CE">
              <w:t xml:space="preserve">a </w:t>
            </w:r>
            <w:r>
              <w:t xml:space="preserve">Texas equivalent of </w:t>
            </w:r>
            <w:r w:rsidR="00286940">
              <w:t xml:space="preserve">such </w:t>
            </w:r>
            <w:r>
              <w:t>a database or network</w:t>
            </w:r>
            <w:r w:rsidR="00286940">
              <w:t xml:space="preserve"> that is managed by DPS</w:t>
            </w:r>
            <w:r>
              <w:t>.</w:t>
            </w:r>
          </w:p>
          <w:p w14:paraId="16CE7F4A" w14:textId="0AF6093C" w:rsidR="008E34CE" w:rsidRDefault="008E34CE" w:rsidP="00B605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BCD03FD" w14:textId="0083CA8C" w:rsidR="008E34CE" w:rsidRDefault="00473896" w:rsidP="00B605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455</w:t>
            </w:r>
            <w:r w:rsidR="00632ED9">
              <w:t>3 does the following with respect to DIR's statewide technology centers:</w:t>
            </w:r>
          </w:p>
          <w:p w14:paraId="1345071D" w14:textId="3A768F57" w:rsidR="00632ED9" w:rsidRDefault="00473896" w:rsidP="00B605E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allows for any eligible entity to participate in a center, rather than only local governments; and</w:t>
            </w:r>
          </w:p>
          <w:p w14:paraId="4AE70C34" w14:textId="6E014C3F" w:rsidR="00632ED9" w:rsidRDefault="00473896" w:rsidP="00B605E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allows for any eligible entity, other than a state agenc</w:t>
            </w:r>
            <w:r>
              <w:t>y, to request to receive services or operations through a center, rather than only local governments.</w:t>
            </w:r>
          </w:p>
          <w:p w14:paraId="09EBF6A4" w14:textId="6FDA6159" w:rsidR="007855C5" w:rsidRDefault="007855C5" w:rsidP="00B605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7D5993B" w14:textId="5AFE1C06" w:rsidR="00632ED9" w:rsidRDefault="00473896" w:rsidP="00B605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4553 </w:t>
            </w:r>
            <w:r w:rsidR="008904E8">
              <w:t>expands</w:t>
            </w:r>
            <w:r>
              <w:t xml:space="preserve"> the list of entities to whom DIR may agree to provide network security services to </w:t>
            </w:r>
            <w:r w:rsidR="008904E8">
              <w:t>include</w:t>
            </w:r>
            <w:r>
              <w:t xml:space="preserve"> the following:</w:t>
            </w:r>
          </w:p>
          <w:p w14:paraId="4683271C" w14:textId="159042B2" w:rsidR="00632ED9" w:rsidRDefault="00473896" w:rsidP="00B605E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a legislative agency;</w:t>
            </w:r>
          </w:p>
          <w:p w14:paraId="5ACC565C" w14:textId="52370940" w:rsidR="008904E8" w:rsidRDefault="00473896" w:rsidP="00B605E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any</w:t>
            </w:r>
            <w:r>
              <w:t xml:space="preserve"> local government;</w:t>
            </w:r>
          </w:p>
          <w:p w14:paraId="0E97496A" w14:textId="072AEB9B" w:rsidR="008904E8" w:rsidRDefault="00473896" w:rsidP="00B605E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the Texas Supreme Court, the Texas Court of Criminal Appeals, or a court of appeals;</w:t>
            </w:r>
          </w:p>
          <w:p w14:paraId="149D5E65" w14:textId="584506A5" w:rsidR="008904E8" w:rsidRDefault="00473896" w:rsidP="00B605E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8904E8">
              <w:t xml:space="preserve">a public hospital owned or operated by </w:t>
            </w:r>
            <w:r>
              <w:t>the</w:t>
            </w:r>
            <w:r w:rsidRPr="008904E8">
              <w:t xml:space="preserve"> state or a political subdivision or municipal corporation of </w:t>
            </w:r>
            <w:r>
              <w:t>the</w:t>
            </w:r>
            <w:r w:rsidRPr="008904E8">
              <w:t xml:space="preserve"> state, including a hospital district or hosp</w:t>
            </w:r>
            <w:r w:rsidRPr="008904E8">
              <w:t>ital authority;</w:t>
            </w:r>
          </w:p>
          <w:p w14:paraId="7B4670A2" w14:textId="77777777" w:rsidR="008904E8" w:rsidRDefault="00473896" w:rsidP="00B605E7">
            <w:pPr>
              <w:pStyle w:val="Header"/>
              <w:numPr>
                <w:ilvl w:val="0"/>
                <w:numId w:val="4"/>
              </w:numPr>
              <w:jc w:val="both"/>
            </w:pPr>
            <w:r>
              <w:t>the Texas Permanent School Fund Corporation;</w:t>
            </w:r>
          </w:p>
          <w:p w14:paraId="6B1CDB67" w14:textId="0EAB2ECD" w:rsidR="008904E8" w:rsidRDefault="00473896" w:rsidP="00B605E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an open-enrollment charter school or private school;</w:t>
            </w:r>
          </w:p>
          <w:p w14:paraId="582F26BE" w14:textId="03257848" w:rsidR="008904E8" w:rsidRDefault="00473896" w:rsidP="00B605E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8904E8">
              <w:t>a private or independent institution of higher education</w:t>
            </w:r>
            <w:r>
              <w:t>;</w:t>
            </w:r>
          </w:p>
          <w:p w14:paraId="4F841628" w14:textId="41F5336E" w:rsidR="008904E8" w:rsidRDefault="00473896" w:rsidP="00B605E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8904E8">
              <w:t>a volunteer fire department</w:t>
            </w:r>
            <w:r>
              <w:t>; and</w:t>
            </w:r>
          </w:p>
          <w:p w14:paraId="69D6162B" w14:textId="3C3086D4" w:rsidR="008904E8" w:rsidRDefault="00473896" w:rsidP="00B605E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ERCOT.</w:t>
            </w:r>
          </w:p>
          <w:p w14:paraId="4792D800" w14:textId="103D2408" w:rsidR="00632ED9" w:rsidRDefault="00632ED9" w:rsidP="00B605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7163BCF" w14:textId="7A85D6CB" w:rsidR="0053264D" w:rsidRDefault="00473896" w:rsidP="00B605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 w:rsidR="008904E8">
              <w:t xml:space="preserve"> 4553 </w:t>
            </w:r>
            <w:r>
              <w:t>extends the</w:t>
            </w:r>
            <w:r w:rsidR="008904E8">
              <w:t xml:space="preserve"> authori</w:t>
            </w:r>
            <w:r>
              <w:t>ty</w:t>
            </w:r>
            <w:r w:rsidR="008904E8">
              <w:t xml:space="preserve"> to purchase commodity items through DIR</w:t>
            </w:r>
            <w:r w:rsidR="00534FFF">
              <w:t xml:space="preserve">'s cooperative contracts </w:t>
            </w:r>
            <w:r w:rsidR="00B54877">
              <w:t xml:space="preserve">purchasing </w:t>
            </w:r>
            <w:r w:rsidR="00534FFF">
              <w:t>program</w:t>
            </w:r>
            <w:r w:rsidR="008904E8">
              <w:t xml:space="preserve"> </w:t>
            </w:r>
            <w:r w:rsidR="00D44816" w:rsidRPr="00B54877">
              <w:t xml:space="preserve">for information technology commodity items </w:t>
            </w:r>
            <w:r w:rsidR="008904E8">
              <w:t xml:space="preserve">to </w:t>
            </w:r>
            <w:r>
              <w:t>all eligibl</w:t>
            </w:r>
            <w:r w:rsidR="00BF3EEF">
              <w:t>e</w:t>
            </w:r>
            <w:r>
              <w:t xml:space="preserve"> entities on the comprehensive list of entities that are eligible customers for DIR services. </w:t>
            </w:r>
            <w:r w:rsidR="00B54877">
              <w:t>Moreover, the bill</w:t>
            </w:r>
            <w:r w:rsidR="00B54877" w:rsidRPr="00B54877">
              <w:t xml:space="preserve"> remove</w:t>
            </w:r>
            <w:r w:rsidR="00B54877">
              <w:t>s</w:t>
            </w:r>
            <w:r w:rsidR="00B54877" w:rsidRPr="00B54877">
              <w:t xml:space="preserve"> the language conditioning </w:t>
            </w:r>
            <w:r w:rsidR="00B54877">
              <w:t>DIR's</w:t>
            </w:r>
            <w:r w:rsidR="00B54877" w:rsidRPr="00B54877">
              <w:t xml:space="preserve"> authority to offer a particular commodity item through </w:t>
            </w:r>
            <w:r w:rsidR="00D44816">
              <w:t>this</w:t>
            </w:r>
            <w:r w:rsidR="00B54877" w:rsidRPr="00B54877">
              <w:t xml:space="preserve"> program on DIR determining that reasonable demand exists for the item from two or more customers and allow</w:t>
            </w:r>
            <w:r w:rsidR="006F0355">
              <w:t>s</w:t>
            </w:r>
            <w:r w:rsidR="00B54877" w:rsidRPr="00B54877">
              <w:t xml:space="preserve"> DIR instead to offer items for which only a single </w:t>
            </w:r>
            <w:r w:rsidR="00D44816">
              <w:t>eligible entity</w:t>
            </w:r>
            <w:r w:rsidR="00B54877" w:rsidRPr="00B54877">
              <w:t xml:space="preserve"> is providing the demand</w:t>
            </w:r>
            <w:r w:rsidR="00D44816">
              <w:t>.</w:t>
            </w:r>
          </w:p>
          <w:p w14:paraId="5665E563" w14:textId="77777777" w:rsidR="00D44816" w:rsidRDefault="00D44816" w:rsidP="00B605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0B8A52E" w14:textId="277E7A9E" w:rsidR="00534FFF" w:rsidRDefault="00473896" w:rsidP="00B605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4553 expands the list of entities authorized to contract with DIR for the use of the state's consolidated telecommunications system to include the following:</w:t>
            </w:r>
          </w:p>
          <w:p w14:paraId="1A15D858" w14:textId="4A727EC6" w:rsidR="00534FFF" w:rsidRDefault="00473896" w:rsidP="00B605E7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534FFF">
              <w:t xml:space="preserve">the </w:t>
            </w:r>
            <w:r>
              <w:t>Texas Supreme Court, the Texas Court of C</w:t>
            </w:r>
            <w:r>
              <w:t>riminal Appeals</w:t>
            </w:r>
            <w:r w:rsidRPr="00534FFF">
              <w:t>, or a court of appeals</w:t>
            </w:r>
            <w:r>
              <w:t>;</w:t>
            </w:r>
          </w:p>
          <w:p w14:paraId="25E61ED2" w14:textId="77777777" w:rsidR="00534FFF" w:rsidRDefault="00473896" w:rsidP="00B605E7">
            <w:pPr>
              <w:pStyle w:val="Header"/>
              <w:numPr>
                <w:ilvl w:val="0"/>
                <w:numId w:val="6"/>
              </w:numPr>
              <w:jc w:val="both"/>
            </w:pPr>
            <w:r>
              <w:t>a public hospital owned or operated by this state or a political subdivision or municipal corporation of this state, including a hospital district or hospital authority;</w:t>
            </w:r>
          </w:p>
          <w:p w14:paraId="13485CE6" w14:textId="5E86EA23" w:rsidR="00534FFF" w:rsidRDefault="00473896" w:rsidP="00B605E7">
            <w:pPr>
              <w:pStyle w:val="Header"/>
              <w:numPr>
                <w:ilvl w:val="0"/>
                <w:numId w:val="6"/>
              </w:numPr>
              <w:jc w:val="both"/>
            </w:pPr>
            <w:r>
              <w:t>ERCOT;</w:t>
            </w:r>
          </w:p>
          <w:p w14:paraId="32BB9823" w14:textId="32C8DBD0" w:rsidR="00534FFF" w:rsidRDefault="00473896" w:rsidP="00B605E7">
            <w:pPr>
              <w:pStyle w:val="Header"/>
              <w:numPr>
                <w:ilvl w:val="0"/>
                <w:numId w:val="6"/>
              </w:numPr>
              <w:jc w:val="both"/>
            </w:pPr>
            <w:r>
              <w:t>the Texas Permanent School Fund Corpora</w:t>
            </w:r>
            <w:r>
              <w:t>tion;</w:t>
            </w:r>
          </w:p>
          <w:p w14:paraId="2DB75DE0" w14:textId="0CF00695" w:rsidR="00534FFF" w:rsidRDefault="00473896" w:rsidP="00B605E7">
            <w:pPr>
              <w:pStyle w:val="Header"/>
              <w:numPr>
                <w:ilvl w:val="0"/>
                <w:numId w:val="6"/>
              </w:numPr>
              <w:jc w:val="both"/>
            </w:pPr>
            <w:r>
              <w:t>an open-enrollment charter school or private school;</w:t>
            </w:r>
          </w:p>
          <w:p w14:paraId="06E50E9D" w14:textId="0CD58CA7" w:rsidR="00534FFF" w:rsidRDefault="00473896" w:rsidP="00B605E7">
            <w:pPr>
              <w:pStyle w:val="Header"/>
              <w:numPr>
                <w:ilvl w:val="0"/>
                <w:numId w:val="6"/>
              </w:numPr>
              <w:jc w:val="both"/>
            </w:pPr>
            <w:r>
              <w:t>a private or independent institution of higher education; and</w:t>
            </w:r>
          </w:p>
          <w:p w14:paraId="257658F5" w14:textId="77818AC0" w:rsidR="00534FFF" w:rsidRDefault="00473896" w:rsidP="00B605E7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a volunteer fire department.</w:t>
            </w:r>
          </w:p>
          <w:p w14:paraId="2FBA642C" w14:textId="77777777" w:rsidR="008904E8" w:rsidRDefault="008904E8" w:rsidP="00B605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ED52A9D" w14:textId="7B8E2B38" w:rsidR="00ED41DA" w:rsidRPr="009C36CD" w:rsidRDefault="00473896" w:rsidP="00B605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>
              <w:t xml:space="preserve"> 4553 repeals Sections 418.193 and 418.194, Government Code.</w:t>
            </w:r>
          </w:p>
          <w:p w14:paraId="3BA2B890" w14:textId="77777777" w:rsidR="008423E4" w:rsidRPr="00835628" w:rsidRDefault="008423E4" w:rsidP="00B605E7">
            <w:pPr>
              <w:rPr>
                <w:b/>
              </w:rPr>
            </w:pPr>
          </w:p>
        </w:tc>
      </w:tr>
      <w:tr w:rsidR="00463728" w14:paraId="1D824B85" w14:textId="77777777" w:rsidTr="00345119">
        <w:tc>
          <w:tcPr>
            <w:tcW w:w="9576" w:type="dxa"/>
          </w:tcPr>
          <w:p w14:paraId="4DC86BC1" w14:textId="77777777" w:rsidR="008423E4" w:rsidRPr="00A8133F" w:rsidRDefault="00473896" w:rsidP="00B605E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CDAB956" w14:textId="77777777" w:rsidR="008423E4" w:rsidRDefault="008423E4" w:rsidP="00B605E7"/>
          <w:p w14:paraId="0E04D324" w14:textId="626A3397" w:rsidR="008423E4" w:rsidRPr="003624F2" w:rsidRDefault="00473896" w:rsidP="00B605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A24B6B6" w14:textId="77777777" w:rsidR="008423E4" w:rsidRPr="00233FDB" w:rsidRDefault="008423E4" w:rsidP="00B605E7">
            <w:pPr>
              <w:rPr>
                <w:b/>
              </w:rPr>
            </w:pPr>
          </w:p>
        </w:tc>
      </w:tr>
      <w:tr w:rsidR="00463728" w14:paraId="66F4039A" w14:textId="77777777" w:rsidTr="00345119">
        <w:tc>
          <w:tcPr>
            <w:tcW w:w="9576" w:type="dxa"/>
          </w:tcPr>
          <w:p w14:paraId="1E59D986" w14:textId="77777777" w:rsidR="00B87AFB" w:rsidRDefault="00473896" w:rsidP="00B605E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E4119AC" w14:textId="77777777" w:rsidR="00286940" w:rsidRDefault="00286940" w:rsidP="00B605E7">
            <w:pPr>
              <w:jc w:val="both"/>
            </w:pPr>
          </w:p>
          <w:p w14:paraId="38794519" w14:textId="2EFC5FD2" w:rsidR="00286940" w:rsidRDefault="00473896" w:rsidP="00B605E7">
            <w:pPr>
              <w:jc w:val="both"/>
            </w:pPr>
            <w:r>
              <w:t xml:space="preserve">While C.S.H.B. 4553 may differ from the introduced in minor or nonsubstantive ways, the following </w:t>
            </w:r>
            <w:r>
              <w:t>summarizes the substantial differences between the introduced and committee substitute versions of the bill.</w:t>
            </w:r>
          </w:p>
          <w:p w14:paraId="22F4B489" w14:textId="20BEBCEB" w:rsidR="00D44816" w:rsidRDefault="00D44816" w:rsidP="00B605E7">
            <w:pPr>
              <w:jc w:val="both"/>
            </w:pPr>
          </w:p>
          <w:p w14:paraId="50625258" w14:textId="6B08E346" w:rsidR="00D44816" w:rsidRDefault="00473896" w:rsidP="00B605E7">
            <w:pPr>
              <w:jc w:val="both"/>
            </w:pPr>
            <w:r>
              <w:t xml:space="preserve">With respect to DIR's cooperative contracts purchasing program </w:t>
            </w:r>
            <w:r w:rsidRPr="00B54877">
              <w:t>for information technology commodity items</w:t>
            </w:r>
            <w:r>
              <w:t>, the introduced retained the existing li</w:t>
            </w:r>
            <w:r>
              <w:t xml:space="preserve">st of entities eligible to purchase commodity items through the program but expanded that list to include the Texas Supreme Court, the Court of Criminal Appeals, </w:t>
            </w:r>
            <w:r w:rsidR="00D53855">
              <w:t>a court of appeals</w:t>
            </w:r>
            <w:r>
              <w:t>, a public hospital owned and operated by the state or a political subdivisi</w:t>
            </w:r>
            <w:r>
              <w:t xml:space="preserve">on or municipal corporation, a charter school, the legislature, and a legislative agency. The substitute </w:t>
            </w:r>
            <w:r w:rsidR="006F0355">
              <w:t xml:space="preserve">instead replaces the existing list with a blanket authorization for any eligible entity included on the </w:t>
            </w:r>
            <w:r w:rsidR="006F0355" w:rsidRPr="006F0355">
              <w:t>comprehensive list of entities that are eligible customers for DIR services</w:t>
            </w:r>
            <w:r w:rsidR="006F0355">
              <w:t xml:space="preserve"> set out by the bill. The substitute also includes a provision absent from the introduced </w:t>
            </w:r>
            <w:r w:rsidR="006F0355" w:rsidRPr="006F0355">
              <w:t>remov</w:t>
            </w:r>
            <w:r w:rsidR="006F0355">
              <w:t>ing</w:t>
            </w:r>
            <w:r w:rsidR="006F0355" w:rsidRPr="006F0355">
              <w:t xml:space="preserve"> the language conditioning DIR's authority to offer a particular commodity item through this program on DIR determining that reasonable demand exists for the item from two or more customers and allow</w:t>
            </w:r>
            <w:r w:rsidR="006F0355">
              <w:t>ing</w:t>
            </w:r>
            <w:r w:rsidR="006F0355" w:rsidRPr="006F0355">
              <w:t xml:space="preserve"> DIR instead to offer items for which only a single eligible entity is providing the demand</w:t>
            </w:r>
            <w:r w:rsidR="006F0355">
              <w:t>.</w:t>
            </w:r>
          </w:p>
          <w:p w14:paraId="2156803E" w14:textId="7CB92D30" w:rsidR="002A3E0F" w:rsidRDefault="002A3E0F" w:rsidP="00B605E7">
            <w:pPr>
              <w:jc w:val="both"/>
            </w:pPr>
          </w:p>
          <w:p w14:paraId="67078937" w14:textId="06883A5B" w:rsidR="002A3E0F" w:rsidRDefault="00473896" w:rsidP="00B605E7">
            <w:pPr>
              <w:jc w:val="both"/>
            </w:pPr>
            <w:r>
              <w:t xml:space="preserve">The introduced </w:t>
            </w:r>
            <w:r w:rsidRPr="002A3E0F">
              <w:t>remove</w:t>
            </w:r>
            <w:r>
              <w:t>d</w:t>
            </w:r>
            <w:r w:rsidRPr="002A3E0F">
              <w:t xml:space="preserve"> the exemption from </w:t>
            </w:r>
            <w:r>
              <w:t xml:space="preserve">provisions governing DIR's statewide technology </w:t>
            </w:r>
            <w:r>
              <w:t xml:space="preserve">centers </w:t>
            </w:r>
            <w:r w:rsidRPr="002A3E0F">
              <w:t>for DPS</w:t>
            </w:r>
            <w:r>
              <w:t>'s</w:t>
            </w:r>
            <w:r w:rsidRPr="002A3E0F">
              <w:t xml:space="preserve"> use for criminal justice or homeland security purposes of a federal database or network and</w:t>
            </w:r>
            <w:r>
              <w:t xml:space="preserve"> for</w:t>
            </w:r>
            <w:r w:rsidRPr="002A3E0F">
              <w:t xml:space="preserve"> a database or network managed by the Department of Agriculture</w:t>
            </w:r>
            <w:r>
              <w:t xml:space="preserve"> (TDA) but retained, with slight modification, </w:t>
            </w:r>
            <w:r w:rsidRPr="002A3E0F">
              <w:t xml:space="preserve">the </w:t>
            </w:r>
            <w:r w:rsidR="00543BE5">
              <w:t>exemption</w:t>
            </w:r>
            <w:r w:rsidR="00543BE5" w:rsidRPr="002A3E0F">
              <w:t xml:space="preserve"> </w:t>
            </w:r>
            <w:r w:rsidRPr="002A3E0F">
              <w:t>for a Texas equival</w:t>
            </w:r>
            <w:r w:rsidRPr="002A3E0F">
              <w:t xml:space="preserve">ent of a federal </w:t>
            </w:r>
            <w:r>
              <w:t xml:space="preserve">criminal justice or homeland security </w:t>
            </w:r>
            <w:r w:rsidRPr="002A3E0F">
              <w:t>database or network that is managed by DPS.</w:t>
            </w:r>
            <w:r>
              <w:t xml:space="preserve"> </w:t>
            </w:r>
            <w:r w:rsidR="00543BE5">
              <w:t>While t</w:t>
            </w:r>
            <w:r>
              <w:t xml:space="preserve">he substitute </w:t>
            </w:r>
            <w:r w:rsidR="00734119">
              <w:t xml:space="preserve">also removes the exception for DPS's use </w:t>
            </w:r>
            <w:r w:rsidR="00734119" w:rsidRPr="002A3E0F">
              <w:t>for criminal justice or homeland security purposes of a federal database or network</w:t>
            </w:r>
            <w:r w:rsidR="00543BE5">
              <w:t>, the substitute</w:t>
            </w:r>
            <w:r w:rsidR="00734119">
              <w:t xml:space="preserve"> </w:t>
            </w:r>
            <w:r>
              <w:t xml:space="preserve">does not remove the exemption for a </w:t>
            </w:r>
            <w:r w:rsidRPr="002A3E0F">
              <w:t>database or network managed</w:t>
            </w:r>
            <w:r>
              <w:t xml:space="preserve"> </w:t>
            </w:r>
            <w:r w:rsidR="00217FD7">
              <w:t xml:space="preserve">by </w:t>
            </w:r>
            <w:r>
              <w:t>TDA</w:t>
            </w:r>
            <w:r w:rsidR="00734119">
              <w:t xml:space="preserve">. Moreover, the substitute, </w:t>
            </w:r>
            <w:r w:rsidR="00543BE5">
              <w:t>instead of</w:t>
            </w:r>
            <w:r w:rsidR="00734119">
              <w:t xml:space="preserve"> modifying the remaining exemption for the Texas equivalent database or network managed by DPS, as in the introduced, removes the exemption from law entirely.</w:t>
            </w:r>
          </w:p>
          <w:p w14:paraId="48FB2CD7" w14:textId="1F5C9505" w:rsidR="00286940" w:rsidRPr="00286940" w:rsidRDefault="00286940" w:rsidP="00B605E7">
            <w:pPr>
              <w:jc w:val="both"/>
            </w:pPr>
          </w:p>
        </w:tc>
      </w:tr>
      <w:tr w:rsidR="00463728" w14:paraId="13295559" w14:textId="77777777" w:rsidTr="00345119">
        <w:tc>
          <w:tcPr>
            <w:tcW w:w="9576" w:type="dxa"/>
          </w:tcPr>
          <w:p w14:paraId="095814F9" w14:textId="77777777" w:rsidR="00B87AFB" w:rsidRPr="009C1E9A" w:rsidRDefault="00B87AFB" w:rsidP="00B605E7">
            <w:pPr>
              <w:rPr>
                <w:b/>
                <w:u w:val="single"/>
              </w:rPr>
            </w:pPr>
          </w:p>
        </w:tc>
      </w:tr>
      <w:tr w:rsidR="00463728" w14:paraId="42876F90" w14:textId="77777777" w:rsidTr="00345119">
        <w:tc>
          <w:tcPr>
            <w:tcW w:w="9576" w:type="dxa"/>
          </w:tcPr>
          <w:p w14:paraId="4CE684F4" w14:textId="77777777" w:rsidR="00B87AFB" w:rsidRPr="00B87AFB" w:rsidRDefault="00B87AFB" w:rsidP="00B605E7">
            <w:pPr>
              <w:jc w:val="both"/>
            </w:pPr>
          </w:p>
        </w:tc>
      </w:tr>
    </w:tbl>
    <w:p w14:paraId="2A97FA45" w14:textId="77777777" w:rsidR="008423E4" w:rsidRPr="00BE0E75" w:rsidRDefault="008423E4" w:rsidP="00B605E7">
      <w:pPr>
        <w:jc w:val="both"/>
        <w:rPr>
          <w:rFonts w:ascii="Arial" w:hAnsi="Arial"/>
          <w:sz w:val="16"/>
          <w:szCs w:val="16"/>
        </w:rPr>
      </w:pPr>
    </w:p>
    <w:p w14:paraId="2368F173" w14:textId="77777777" w:rsidR="004108C3" w:rsidRPr="008423E4" w:rsidRDefault="004108C3" w:rsidP="00B605E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7133" w14:textId="77777777" w:rsidR="00000000" w:rsidRDefault="00473896">
      <w:r>
        <w:separator/>
      </w:r>
    </w:p>
  </w:endnote>
  <w:endnote w:type="continuationSeparator" w:id="0">
    <w:p w14:paraId="6A0A8E89" w14:textId="77777777" w:rsidR="00000000" w:rsidRDefault="0047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051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63728" w14:paraId="0FE8E408" w14:textId="77777777" w:rsidTr="009C1E9A">
      <w:trPr>
        <w:cantSplit/>
      </w:trPr>
      <w:tc>
        <w:tcPr>
          <w:tcW w:w="0" w:type="pct"/>
        </w:tcPr>
        <w:p w14:paraId="734C73A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6FE59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6B804F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CA2E44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01B3C6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3728" w14:paraId="5BA37E26" w14:textId="77777777" w:rsidTr="009C1E9A">
      <w:trPr>
        <w:cantSplit/>
      </w:trPr>
      <w:tc>
        <w:tcPr>
          <w:tcW w:w="0" w:type="pct"/>
        </w:tcPr>
        <w:p w14:paraId="7480CB9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C103588" w14:textId="434C58DE" w:rsidR="00EC379B" w:rsidRPr="009C1E9A" w:rsidRDefault="0047389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24156-D</w:t>
          </w:r>
        </w:p>
      </w:tc>
      <w:tc>
        <w:tcPr>
          <w:tcW w:w="2453" w:type="pct"/>
        </w:tcPr>
        <w:p w14:paraId="64E260AB" w14:textId="748AE900" w:rsidR="00EC379B" w:rsidRDefault="0047389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10130">
            <w:t>23.107.2171</w:t>
          </w:r>
          <w:r>
            <w:fldChar w:fldCharType="end"/>
          </w:r>
        </w:p>
      </w:tc>
    </w:tr>
    <w:tr w:rsidR="00463728" w14:paraId="5DCB218E" w14:textId="77777777" w:rsidTr="009C1E9A">
      <w:trPr>
        <w:cantSplit/>
      </w:trPr>
      <w:tc>
        <w:tcPr>
          <w:tcW w:w="0" w:type="pct"/>
        </w:tcPr>
        <w:p w14:paraId="2A2B659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DE49636" w14:textId="0C45F374" w:rsidR="00EC379B" w:rsidRPr="009C1E9A" w:rsidRDefault="0047389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21790</w:t>
          </w:r>
        </w:p>
      </w:tc>
      <w:tc>
        <w:tcPr>
          <w:tcW w:w="2453" w:type="pct"/>
        </w:tcPr>
        <w:p w14:paraId="25637F5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51911C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3728" w14:paraId="59BFE26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4D33BF2" w14:textId="77777777" w:rsidR="00EC379B" w:rsidRDefault="0047389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6AF9A5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15C6B9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730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7953" w14:textId="77777777" w:rsidR="00000000" w:rsidRDefault="00473896">
      <w:r>
        <w:separator/>
      </w:r>
    </w:p>
  </w:footnote>
  <w:footnote w:type="continuationSeparator" w:id="0">
    <w:p w14:paraId="3C190E1A" w14:textId="77777777" w:rsidR="00000000" w:rsidRDefault="00473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519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9B1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250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AFE"/>
    <w:multiLevelType w:val="hybridMultilevel"/>
    <w:tmpl w:val="586EEC82"/>
    <w:lvl w:ilvl="0" w:tplc="D7F8F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4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380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C6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4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403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E16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23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362D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1234"/>
    <w:multiLevelType w:val="hybridMultilevel"/>
    <w:tmpl w:val="1E6C6A00"/>
    <w:lvl w:ilvl="0" w:tplc="35021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7E4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22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E3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49B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669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2FD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A6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A61A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06CCB"/>
    <w:multiLevelType w:val="hybridMultilevel"/>
    <w:tmpl w:val="0F463832"/>
    <w:lvl w:ilvl="0" w:tplc="E6281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3A50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C4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850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8D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C0F6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E9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CC9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48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D3701"/>
    <w:multiLevelType w:val="hybridMultilevel"/>
    <w:tmpl w:val="BE30E652"/>
    <w:lvl w:ilvl="0" w:tplc="1CAAE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86DC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2086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2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2C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E2D0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A0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69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3413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A489E"/>
    <w:multiLevelType w:val="hybridMultilevel"/>
    <w:tmpl w:val="304425AA"/>
    <w:lvl w:ilvl="0" w:tplc="FEFC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02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3EBF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004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BE5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EC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49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62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80E8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E0DC8"/>
    <w:multiLevelType w:val="hybridMultilevel"/>
    <w:tmpl w:val="B82AA58A"/>
    <w:lvl w:ilvl="0" w:tplc="24A67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9051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B4E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C00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AE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66D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E1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681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0096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12058"/>
    <w:multiLevelType w:val="hybridMultilevel"/>
    <w:tmpl w:val="2A2A0F32"/>
    <w:lvl w:ilvl="0" w:tplc="4F6EB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46B8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8A4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0A0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C9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687B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86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4B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18F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36C88"/>
    <w:multiLevelType w:val="hybridMultilevel"/>
    <w:tmpl w:val="F656C3F4"/>
    <w:lvl w:ilvl="0" w:tplc="9BA46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10DA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5A3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A6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C7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D65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C4F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6D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068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F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1E82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4199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87D7D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17FD7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6940"/>
    <w:rsid w:val="002874E3"/>
    <w:rsid w:val="00287656"/>
    <w:rsid w:val="00291518"/>
    <w:rsid w:val="00296FF0"/>
    <w:rsid w:val="002A17C0"/>
    <w:rsid w:val="002A3E0F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5F2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95B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3728"/>
    <w:rsid w:val="00473896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264D"/>
    <w:rsid w:val="005336BD"/>
    <w:rsid w:val="00534A49"/>
    <w:rsid w:val="00534FFF"/>
    <w:rsid w:val="005363BB"/>
    <w:rsid w:val="005367EC"/>
    <w:rsid w:val="00541B98"/>
    <w:rsid w:val="00543374"/>
    <w:rsid w:val="00543BE5"/>
    <w:rsid w:val="00544C5B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0DD9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2ED9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0355"/>
    <w:rsid w:val="006F365D"/>
    <w:rsid w:val="006F4BB0"/>
    <w:rsid w:val="007031BD"/>
    <w:rsid w:val="00703928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4119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5C5"/>
    <w:rsid w:val="00785729"/>
    <w:rsid w:val="00786058"/>
    <w:rsid w:val="0079487D"/>
    <w:rsid w:val="007966D4"/>
    <w:rsid w:val="00796A0A"/>
    <w:rsid w:val="0079792C"/>
    <w:rsid w:val="007A0989"/>
    <w:rsid w:val="007A2806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414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4484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45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4E8"/>
    <w:rsid w:val="00890B59"/>
    <w:rsid w:val="008930D7"/>
    <w:rsid w:val="008947A7"/>
    <w:rsid w:val="00897E80"/>
    <w:rsid w:val="008A04FA"/>
    <w:rsid w:val="008A2B94"/>
    <w:rsid w:val="008A3188"/>
    <w:rsid w:val="008A36D8"/>
    <w:rsid w:val="008A3FDF"/>
    <w:rsid w:val="008A6418"/>
    <w:rsid w:val="008B05D8"/>
    <w:rsid w:val="008B0B3D"/>
    <w:rsid w:val="008B2B1A"/>
    <w:rsid w:val="008B3428"/>
    <w:rsid w:val="008B4A91"/>
    <w:rsid w:val="008B71F9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34CE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130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86F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4F6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4877"/>
    <w:rsid w:val="00B564BF"/>
    <w:rsid w:val="00B605E7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7AFB"/>
    <w:rsid w:val="00B90097"/>
    <w:rsid w:val="00B90999"/>
    <w:rsid w:val="00B91AD7"/>
    <w:rsid w:val="00B92D23"/>
    <w:rsid w:val="00B95BC8"/>
    <w:rsid w:val="00B96E87"/>
    <w:rsid w:val="00BA0FB0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06BD"/>
    <w:rsid w:val="00BF3EEF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1CD1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66C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816"/>
    <w:rsid w:val="00D44ADE"/>
    <w:rsid w:val="00D50D65"/>
    <w:rsid w:val="00D512E0"/>
    <w:rsid w:val="00D519F3"/>
    <w:rsid w:val="00D51D2A"/>
    <w:rsid w:val="00D53855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064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4DE0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0CE"/>
    <w:rsid w:val="00E2551E"/>
    <w:rsid w:val="00E26B13"/>
    <w:rsid w:val="00E27E5A"/>
    <w:rsid w:val="00E301EF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41DA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5DE8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677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8C6545-415C-4D2E-97F0-356E3E18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367E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36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67E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6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67EC"/>
    <w:rPr>
      <w:b/>
      <w:bCs/>
    </w:rPr>
  </w:style>
  <w:style w:type="paragraph" w:styleId="Revision">
    <w:name w:val="Revision"/>
    <w:hidden/>
    <w:uiPriority w:val="99"/>
    <w:semiHidden/>
    <w:rsid w:val="00286940"/>
    <w:rPr>
      <w:sz w:val="24"/>
      <w:szCs w:val="24"/>
    </w:rPr>
  </w:style>
  <w:style w:type="character" w:styleId="Hyperlink">
    <w:name w:val="Hyperlink"/>
    <w:basedOn w:val="DefaultParagraphFont"/>
    <w:unhideWhenUsed/>
    <w:rsid w:val="00D44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1199</Words>
  <Characters>6866</Characters>
  <Application>Microsoft Office Word</Application>
  <DocSecurity>4</DocSecurity>
  <Lines>148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HB04553 (Committee Report (Substituted))</vt:lpstr>
    </vt:vector>
  </TitlesOfParts>
  <Company>State of Texas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24156</dc:subject>
  <dc:creator>State of Texas</dc:creator>
  <dc:description>HB 4553 by Longoria-(H)State Affairs (Substitute Document Number: 88R 21790)</dc:description>
  <cp:lastModifiedBy>Matthew Lee</cp:lastModifiedBy>
  <cp:revision>2</cp:revision>
  <cp:lastPrinted>2003-11-26T17:21:00Z</cp:lastPrinted>
  <dcterms:created xsi:type="dcterms:W3CDTF">2023-04-19T18:09:00Z</dcterms:created>
  <dcterms:modified xsi:type="dcterms:W3CDTF">2023-04-19T18:09:00Z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23.107.2171</vt:lpwstr>
  </property>
</Properties>
</file>